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1C4F" w14:textId="20D471C6" w:rsidR="00672BE5" w:rsidRDefault="00672BE5" w:rsidP="00941E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67DB4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735BCB03" wp14:editId="23B631EA">
            <wp:simplePos x="0" y="0"/>
            <wp:positionH relativeFrom="column">
              <wp:posOffset>2556423</wp:posOffset>
            </wp:positionH>
            <wp:positionV relativeFrom="paragraph">
              <wp:posOffset>585</wp:posOffset>
            </wp:positionV>
            <wp:extent cx="3227397" cy="9411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397" cy="9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B8E1E" w14:textId="7870F784" w:rsidR="00672BE5" w:rsidRDefault="00672BE5" w:rsidP="00941E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7ECA51E" w14:textId="77777777" w:rsidR="00672BE5" w:rsidRDefault="00672BE5" w:rsidP="00941E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DA28664" w14:textId="77777777" w:rsidR="00672BE5" w:rsidRDefault="00672BE5" w:rsidP="00941E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DAFC0FE" w14:textId="296CCA88" w:rsidR="00DE7922" w:rsidRPr="00101D7C" w:rsidRDefault="00941E4A" w:rsidP="00941E4A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North Warwickshire &amp; South Leicestershire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 w:rsidP="00941E4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FC149E1" w:rsidR="003A3E64" w:rsidRPr="00101D7C" w:rsidRDefault="0037263E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941E4A">
        <w:rPr>
          <w:rFonts w:ascii="Arial" w:hAnsi="Arial" w:cs="Arial"/>
          <w:color w:val="000000" w:themeColor="text1"/>
          <w:sz w:val="24"/>
          <w:szCs w:val="24"/>
        </w:rPr>
        <w:t>North Warwickshire &amp; South Leicestershire College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41E4A">
        <w:rPr>
          <w:rFonts w:ascii="Arial" w:hAnsi="Arial" w:cs="Arial"/>
          <w:color w:val="000000" w:themeColor="text1"/>
          <w:sz w:val="24"/>
          <w:szCs w:val="24"/>
        </w:rPr>
        <w:t>North Warwickshire &amp; South Leicestershire College</w:t>
      </w:r>
      <w:r w:rsidR="00941E4A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is the Data Controller for the data required for processing the tests and undertaking any actions which are needed by the 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>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22F61109" w:rsidR="003A3E64" w:rsidRPr="00101D7C" w:rsidRDefault="2E92775F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</w:p>
    <w:p w14:paraId="09D58E8C" w14:textId="2095777A" w:rsidR="003A3E64" w:rsidRDefault="7FF7DE91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>staff is processed under the legitimate interest of</w:t>
      </w:r>
      <w:r w:rsidR="00941E4A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50231703" w:rsidR="00AF32C0" w:rsidRPr="00101D7C" w:rsidRDefault="00AF32C0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</w:t>
      </w:r>
      <w:r w:rsidR="00941E4A">
        <w:rPr>
          <w:rFonts w:ascii="Arial" w:hAnsi="Arial" w:cs="Arial"/>
          <w:color w:val="000000" w:themeColor="text1"/>
          <w:sz w:val="24"/>
          <w:szCs w:val="24"/>
        </w:rPr>
        <w:t>the college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08583AA3" w:rsidR="003A3E64" w:rsidRDefault="55B03421" w:rsidP="00941E4A">
      <w:pPr>
        <w:jc w:val="both"/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</w:t>
      </w:r>
      <w:r w:rsidR="00941E4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12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</w:t>
      </w:r>
    </w:p>
    <w:p w14:paraId="693DB3CB" w14:textId="0F16F9AA" w:rsidR="006A6627" w:rsidRDefault="006A6627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941E4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543F5AE4" w:rsidR="00B86B9D" w:rsidRPr="00B86B9D" w:rsidRDefault="00B86B9D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</w:t>
      </w:r>
      <w:r w:rsidR="00941E4A">
        <w:rPr>
          <w:rFonts w:ascii="Arial" w:hAnsi="Arial" w:cs="Arial"/>
          <w:sz w:val="24"/>
          <w:szCs w:val="24"/>
        </w:rPr>
        <w:t>C</w:t>
      </w:r>
      <w:r w:rsidR="00A60C4F">
        <w:rPr>
          <w:rFonts w:ascii="Arial" w:hAnsi="Arial" w:cs="Arial"/>
          <w:sz w:val="24"/>
          <w:szCs w:val="24"/>
        </w:rPr>
        <w:t>olleges will not have access to the information on the digital service once it has been entered.</w:t>
      </w:r>
    </w:p>
    <w:p w14:paraId="42A0C1E5" w14:textId="77777777" w:rsidR="006A6627" w:rsidRPr="004C6F36" w:rsidRDefault="003A3E64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5EFEE96" w:rsidR="00893B1D" w:rsidRDefault="003A3E64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 xml:space="preserve">of the result by the </w:t>
      </w:r>
      <w:r w:rsidR="00E415B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941E4A">
      <w:pPr>
        <w:jc w:val="both"/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941E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00A0B129" w:rsidR="00F50A4D" w:rsidRDefault="00F50A4D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941E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2FB91C01" w:rsidR="00125494" w:rsidRDefault="00125494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941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941E4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941E4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941E4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941E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941E4A">
      <w:pPr>
        <w:jc w:val="both"/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F551483" w:rsidR="006F40D7" w:rsidRPr="00101D7C" w:rsidRDefault="006F40D7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hyperlink r:id="rId13" w:history="1">
        <w:r w:rsidR="0096204E" w:rsidRPr="00423A61">
          <w:rPr>
            <w:rStyle w:val="Hyperlink"/>
            <w:rFonts w:ascii="Arial" w:hAnsi="Arial" w:cs="Arial"/>
            <w:sz w:val="24"/>
            <w:szCs w:val="24"/>
          </w:rPr>
          <w:t>Rachel.marshall@nwslc.ac.uk</w:t>
        </w:r>
      </w:hyperlink>
      <w:r w:rsidR="009620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if you wish to make a request.</w:t>
      </w:r>
    </w:p>
    <w:p w14:paraId="7D47DF1A" w14:textId="77777777" w:rsidR="00672BE5" w:rsidRDefault="00672BE5" w:rsidP="00941E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3815A3" w14:textId="02407151" w:rsidR="00B9379D" w:rsidRPr="00101D7C" w:rsidRDefault="00B9379D" w:rsidP="00941E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How to complain</w:t>
      </w:r>
    </w:p>
    <w:p w14:paraId="1FA2D7CC" w14:textId="77777777" w:rsidR="00B9379D" w:rsidRPr="00101D7C" w:rsidRDefault="00B9379D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941E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941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941E4A">
      <w:pPr>
        <w:jc w:val="both"/>
      </w:pPr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EABB" w14:textId="77777777" w:rsidR="0049315D" w:rsidRDefault="0049315D" w:rsidP="00941E4A">
      <w:pPr>
        <w:spacing w:after="0" w:line="240" w:lineRule="auto"/>
      </w:pPr>
      <w:r>
        <w:separator/>
      </w:r>
    </w:p>
  </w:endnote>
  <w:endnote w:type="continuationSeparator" w:id="0">
    <w:p w14:paraId="1DD5D411" w14:textId="77777777" w:rsidR="0049315D" w:rsidRDefault="0049315D" w:rsidP="009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EBB2" w14:textId="77777777" w:rsidR="0049315D" w:rsidRDefault="0049315D" w:rsidP="00941E4A">
      <w:pPr>
        <w:spacing w:after="0" w:line="240" w:lineRule="auto"/>
      </w:pPr>
      <w:r>
        <w:separator/>
      </w:r>
    </w:p>
  </w:footnote>
  <w:footnote w:type="continuationSeparator" w:id="0">
    <w:p w14:paraId="40EB92BC" w14:textId="77777777" w:rsidR="0049315D" w:rsidRDefault="0049315D" w:rsidP="009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6AC7" w14:textId="77777777" w:rsidR="00941E4A" w:rsidRDefault="0094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15D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62382"/>
    <w:rsid w:val="005F0AEA"/>
    <w:rsid w:val="006153EA"/>
    <w:rsid w:val="00615D21"/>
    <w:rsid w:val="00633F11"/>
    <w:rsid w:val="0063447E"/>
    <w:rsid w:val="00672BE5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1E4A"/>
    <w:rsid w:val="00942274"/>
    <w:rsid w:val="0096204E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4A"/>
  </w:style>
  <w:style w:type="paragraph" w:styleId="Footer">
    <w:name w:val="footer"/>
    <w:basedOn w:val="Normal"/>
    <w:link w:val="FooterChar"/>
    <w:uiPriority w:val="99"/>
    <w:unhideWhenUsed/>
    <w:rsid w:val="0094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.marshall@nwslc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act-tracing.phe.gov.uk/help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http://schemas.microsoft.com/office/2006/metadata/properties"/>
    <ds:schemaRef ds:uri="http://schemas.microsoft.com/office/infopath/2007/PartnerControls"/>
    <ds:schemaRef ds:uri="dc1fc176-5f36-4750-8c43-1d6aa778d7ee"/>
  </ds:schemaRefs>
</ds:datastoreItem>
</file>

<file path=customXml/itemProps4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Nicola Morrison</cp:lastModifiedBy>
  <cp:revision>3</cp:revision>
  <dcterms:created xsi:type="dcterms:W3CDTF">2021-01-04T18:17:00Z</dcterms:created>
  <dcterms:modified xsi:type="dcterms:W3CDTF">2021-01-13T16:48:00Z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