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CAE3" w14:textId="1D074A6A" w:rsidR="003050C6" w:rsidRPr="00FD02B8" w:rsidRDefault="0D2E17DB" w:rsidP="004D3EEC">
      <w:pPr>
        <w:pStyle w:val="Heading2"/>
        <w:spacing w:before="0" w:after="0" w:line="360" w:lineRule="auto"/>
        <w:contextualSpacing w:val="0"/>
        <w:rPr>
          <w:rFonts w:cs="Arial"/>
        </w:rPr>
      </w:pPr>
      <w:bookmarkStart w:id="0" w:name="_Toc505627625"/>
      <w:bookmarkStart w:id="1" w:name="_Toc507331793"/>
      <w:bookmarkStart w:id="2" w:name="_Toc505627621"/>
      <w:bookmarkStart w:id="3" w:name="_GoBack"/>
      <w:bookmarkEnd w:id="3"/>
      <w:r w:rsidRPr="00FD02B8">
        <w:rPr>
          <w:rFonts w:cs="Arial"/>
        </w:rPr>
        <w:t xml:space="preserve">Annex D: Template for a </w:t>
      </w:r>
      <w:r w:rsidR="00C33820" w:rsidRPr="00FD02B8">
        <w:rPr>
          <w:rFonts w:cs="Arial"/>
        </w:rPr>
        <w:t>Student Protection Plan</w:t>
      </w:r>
      <w:bookmarkEnd w:id="0"/>
      <w:bookmarkEnd w:id="1"/>
    </w:p>
    <w:tbl>
      <w:tblPr>
        <w:tblStyle w:val="TableGrid"/>
        <w:tblW w:w="10431" w:type="dxa"/>
        <w:tblLook w:val="04A0" w:firstRow="1" w:lastRow="0" w:firstColumn="1" w:lastColumn="0" w:noHBand="0" w:noVBand="1"/>
      </w:tblPr>
      <w:tblGrid>
        <w:gridCol w:w="10431"/>
      </w:tblGrid>
      <w:tr w:rsidR="00FD02B8" w:rsidRPr="00FD02B8" w14:paraId="72D865DE" w14:textId="77777777" w:rsidTr="004D3EEC">
        <w:trPr>
          <w:cnfStyle w:val="100000000000" w:firstRow="1" w:lastRow="0" w:firstColumn="0" w:lastColumn="0" w:oddVBand="0" w:evenVBand="0" w:oddHBand="0" w:evenHBand="0" w:firstRowFirstColumn="0" w:firstRowLastColumn="0" w:lastRowFirstColumn="0" w:lastRowLastColumn="0"/>
          <w:trHeight w:val="2793"/>
        </w:trPr>
        <w:tc>
          <w:tcPr>
            <w:tcW w:w="10431" w:type="dxa"/>
          </w:tcPr>
          <w:p w14:paraId="770B43E6" w14:textId="1885C730" w:rsidR="003050C6" w:rsidRPr="00FD02B8" w:rsidRDefault="0D2E17DB" w:rsidP="004D3EEC">
            <w:pPr>
              <w:spacing w:before="120" w:after="120"/>
              <w:rPr>
                <w:rFonts w:cs="Arial"/>
              </w:rPr>
            </w:pPr>
            <w:r w:rsidRPr="00FD02B8">
              <w:rPr>
                <w:rFonts w:cs="Arial"/>
                <w:b/>
                <w:bCs/>
              </w:rPr>
              <w:t>Provider’s name</w:t>
            </w:r>
            <w:r w:rsidRPr="00FD02B8">
              <w:rPr>
                <w:rFonts w:cs="Arial"/>
              </w:rPr>
              <w:t xml:space="preserve">: </w:t>
            </w:r>
            <w:r w:rsidRPr="00FD02B8">
              <w:rPr>
                <w:rFonts w:eastAsia="Arial" w:cs="Arial"/>
              </w:rPr>
              <w:t xml:space="preserve">North Warwickshire and South Leicestershire </w:t>
            </w:r>
            <w:r w:rsidR="00762CDB" w:rsidRPr="00FD02B8">
              <w:rPr>
                <w:rFonts w:eastAsia="Arial" w:cs="Arial"/>
              </w:rPr>
              <w:t>College</w:t>
            </w:r>
          </w:p>
          <w:p w14:paraId="0638BBCE" w14:textId="071D687A" w:rsidR="003050C6" w:rsidRPr="00FD02B8" w:rsidRDefault="0D2E17DB" w:rsidP="004D3EEC">
            <w:pPr>
              <w:spacing w:before="120" w:after="120"/>
              <w:rPr>
                <w:rFonts w:cs="Arial"/>
              </w:rPr>
            </w:pPr>
            <w:r w:rsidRPr="00FD02B8">
              <w:rPr>
                <w:rFonts w:cs="Arial"/>
                <w:b/>
                <w:bCs/>
              </w:rPr>
              <w:t>Provider’s UKPRN</w:t>
            </w:r>
            <w:r w:rsidRPr="00FD02B8">
              <w:rPr>
                <w:rFonts w:cs="Arial"/>
              </w:rPr>
              <w:t>:</w:t>
            </w:r>
            <w:r w:rsidR="7135CF8D" w:rsidRPr="00FD02B8">
              <w:rPr>
                <w:rFonts w:cs="Arial"/>
              </w:rPr>
              <w:t xml:space="preserve"> </w:t>
            </w:r>
            <w:r w:rsidRPr="00FD02B8">
              <w:rPr>
                <w:rFonts w:eastAsia="Arial" w:cs="Arial"/>
              </w:rPr>
              <w:t>100047</w:t>
            </w:r>
          </w:p>
          <w:p w14:paraId="49897B04" w14:textId="0DE9BEA4" w:rsidR="003050C6" w:rsidRPr="00FD02B8" w:rsidRDefault="0D2E17DB" w:rsidP="004D3EEC">
            <w:pPr>
              <w:spacing w:before="120" w:after="120"/>
              <w:rPr>
                <w:rFonts w:asciiTheme="minorHAnsi" w:eastAsiaTheme="minorEastAsia" w:hAnsiTheme="minorHAnsi" w:cstheme="minorBidi"/>
              </w:rPr>
            </w:pPr>
            <w:r w:rsidRPr="00FD02B8">
              <w:rPr>
                <w:rFonts w:cs="Arial"/>
                <w:b/>
                <w:bCs/>
              </w:rPr>
              <w:t>Legal address:</w:t>
            </w:r>
            <w:r w:rsidRPr="00FD02B8">
              <w:rPr>
                <w:rFonts w:cs="Arial"/>
              </w:rPr>
              <w:t xml:space="preserve"> </w:t>
            </w:r>
            <w:r w:rsidRPr="00FD02B8">
              <w:rPr>
                <w:rFonts w:eastAsia="Arial" w:cs="Arial"/>
              </w:rPr>
              <w:t>Hinckley Road, Nuneaton. Warwickshire. CV116BH</w:t>
            </w:r>
          </w:p>
          <w:p w14:paraId="3D08206A" w14:textId="77777777" w:rsidR="004D3EEC" w:rsidRDefault="0D2E17DB" w:rsidP="004D3EEC">
            <w:pPr>
              <w:spacing w:before="120" w:after="120"/>
              <w:rPr>
                <w:rFonts w:eastAsia="Arial" w:cs="Arial"/>
                <w:b/>
                <w:bCs/>
              </w:rPr>
            </w:pPr>
            <w:r w:rsidRPr="00FD02B8">
              <w:rPr>
                <w:rFonts w:eastAsia="Arial" w:cs="Arial"/>
                <w:b/>
                <w:bCs/>
              </w:rPr>
              <w:t xml:space="preserve">Contact point for enquiries about this student protection plan: </w:t>
            </w:r>
          </w:p>
          <w:p w14:paraId="529E0B8D" w14:textId="55C33654" w:rsidR="003050C6" w:rsidRPr="004D3EEC" w:rsidRDefault="0D2E17DB" w:rsidP="004D3EEC">
            <w:pPr>
              <w:spacing w:before="120" w:after="120"/>
              <w:rPr>
                <w:rFonts w:eastAsia="Arial" w:cs="Arial"/>
                <w:b/>
                <w:bCs/>
              </w:rPr>
            </w:pPr>
            <w:r w:rsidRPr="00FD02B8">
              <w:br/>
            </w:r>
            <w:r w:rsidRPr="00FD02B8">
              <w:rPr>
                <w:rFonts w:eastAsia="Arial" w:cs="Arial"/>
              </w:rPr>
              <w:t>Director for Higher Education</w:t>
            </w:r>
            <w:r w:rsidR="19300269" w:rsidRPr="00FD02B8">
              <w:rPr>
                <w:rFonts w:eastAsia="Arial" w:cs="Arial"/>
              </w:rPr>
              <w:t xml:space="preserve"> and Access to HE Provision</w:t>
            </w:r>
          </w:p>
          <w:p w14:paraId="35BCF2C9" w14:textId="7B07465E" w:rsidR="003050C6" w:rsidRPr="00FD02B8" w:rsidRDefault="0D2E17DB" w:rsidP="004D3EEC">
            <w:pPr>
              <w:spacing w:before="120" w:after="120"/>
              <w:rPr>
                <w:rFonts w:eastAsia="Arial" w:cs="Arial"/>
              </w:rPr>
            </w:pPr>
            <w:r w:rsidRPr="00FD02B8">
              <w:rPr>
                <w:rFonts w:eastAsia="Arial" w:cs="Arial"/>
              </w:rPr>
              <w:t xml:space="preserve">Carrie-Anne Abdulai </w:t>
            </w:r>
          </w:p>
          <w:p w14:paraId="3A413699" w14:textId="445857D0" w:rsidR="003050C6" w:rsidRPr="00FD02B8" w:rsidRDefault="2A8ADEBF" w:rsidP="004D3EEC">
            <w:pPr>
              <w:spacing w:before="120" w:after="120"/>
              <w:rPr>
                <w:rFonts w:asciiTheme="minorHAnsi" w:eastAsiaTheme="minorEastAsia" w:hAnsiTheme="minorHAnsi" w:cstheme="minorBidi"/>
              </w:rPr>
            </w:pPr>
            <w:r w:rsidRPr="00FD02B8">
              <w:rPr>
                <w:rFonts w:eastAsia="Arial" w:cs="Arial"/>
              </w:rPr>
              <w:t>Carrie-anne.abdulai@nwslc.ac.uk</w:t>
            </w:r>
            <w:hyperlink r:id="rId11" w:history="1"/>
          </w:p>
        </w:tc>
      </w:tr>
      <w:tr w:rsidR="00FD02B8" w:rsidRPr="00FD02B8" w14:paraId="21D76604" w14:textId="77777777" w:rsidTr="00FD02B8">
        <w:tc>
          <w:tcPr>
            <w:tcW w:w="10431" w:type="dxa"/>
            <w:tcBorders>
              <w:bottom w:val="single" w:sz="4" w:space="0" w:color="auto"/>
            </w:tcBorders>
          </w:tcPr>
          <w:p w14:paraId="72C8F121" w14:textId="07B1D8ED" w:rsidR="007B4AD4" w:rsidRPr="00FD02B8" w:rsidRDefault="0D2E17DB" w:rsidP="00C33820">
            <w:pPr>
              <w:spacing w:before="120" w:after="120"/>
              <w:rPr>
                <w:rFonts w:cs="Arial"/>
                <w:b/>
                <w:bCs/>
                <w:sz w:val="28"/>
                <w:szCs w:val="28"/>
              </w:rPr>
            </w:pPr>
            <w:r w:rsidRPr="00FD02B8">
              <w:rPr>
                <w:rFonts w:cs="Arial"/>
                <w:b/>
                <w:bCs/>
                <w:sz w:val="28"/>
                <w:szCs w:val="28"/>
              </w:rPr>
              <w:t xml:space="preserve">Student </w:t>
            </w:r>
            <w:r w:rsidR="004D3EEC" w:rsidRPr="00FD02B8">
              <w:rPr>
                <w:rFonts w:cs="Arial"/>
                <w:b/>
                <w:bCs/>
                <w:sz w:val="28"/>
                <w:szCs w:val="28"/>
              </w:rPr>
              <w:t xml:space="preserve">Protection Plan For The Period </w:t>
            </w:r>
            <w:r w:rsidRPr="00FD02B8">
              <w:rPr>
                <w:rFonts w:cs="Arial"/>
                <w:b/>
                <w:bCs/>
                <w:sz w:val="28"/>
                <w:szCs w:val="28"/>
              </w:rPr>
              <w:t>[2018-2021]</w:t>
            </w:r>
          </w:p>
        </w:tc>
      </w:tr>
      <w:tr w:rsidR="00FD02B8" w:rsidRPr="00FD02B8" w14:paraId="042A1E18" w14:textId="77777777" w:rsidTr="00FD02B8">
        <w:trPr>
          <w:cantSplit w:val="0"/>
        </w:trPr>
        <w:tc>
          <w:tcPr>
            <w:tcW w:w="10431" w:type="dxa"/>
            <w:tcBorders>
              <w:bottom w:val="single" w:sz="4" w:space="0" w:color="auto"/>
            </w:tcBorders>
          </w:tcPr>
          <w:p w14:paraId="599CF702" w14:textId="77777777" w:rsidR="007B4AD4" w:rsidRPr="00FD02B8" w:rsidRDefault="0D2E17DB" w:rsidP="004D3EEC">
            <w:pPr>
              <w:spacing w:before="120" w:after="120"/>
              <w:jc w:val="both"/>
              <w:rPr>
                <w:rFonts w:cs="Arial"/>
                <w:b/>
                <w:bCs/>
              </w:rPr>
            </w:pPr>
            <w:r w:rsidRPr="00FD02B8">
              <w:rPr>
                <w:rFonts w:cs="Arial"/>
                <w:b/>
                <w:bCs/>
              </w:rPr>
              <w:t>1. An assessment of the range of risks to the continuation of study for your students,</w:t>
            </w:r>
            <w:r w:rsidRPr="00FD02B8">
              <w:rPr>
                <w:rFonts w:cs="Arial"/>
              </w:rPr>
              <w:t xml:space="preserve"> </w:t>
            </w:r>
            <w:r w:rsidRPr="00FD02B8">
              <w:rPr>
                <w:rFonts w:cs="Arial"/>
                <w:b/>
                <w:bCs/>
              </w:rPr>
              <w:t>how those risks may differ based on your students’ needs, characteristics and circumstances, and the likelihood that those risks will crystallise</w:t>
            </w:r>
          </w:p>
          <w:p w14:paraId="1E456887" w14:textId="19351E6F" w:rsidR="004F3FB4" w:rsidRPr="00C33820" w:rsidRDefault="00753099" w:rsidP="004D3EEC">
            <w:pPr>
              <w:spacing w:before="120" w:after="120"/>
              <w:ind w:left="224" w:right="432"/>
              <w:jc w:val="both"/>
              <w:rPr>
                <w:rFonts w:eastAsia="Arial" w:cs="Arial"/>
              </w:rPr>
            </w:pPr>
            <w:r w:rsidRPr="00FD02B8">
              <w:rPr>
                <w:rFonts w:eastAsia="Arial" w:cs="Arial"/>
              </w:rPr>
              <w:t>The following risks have been identified:</w:t>
            </w:r>
          </w:p>
          <w:p w14:paraId="70F1B416" w14:textId="692FA456" w:rsidR="004F3FB4" w:rsidRPr="00FD02B8" w:rsidRDefault="00753099" w:rsidP="004D3EEC">
            <w:pPr>
              <w:spacing w:before="120" w:after="120"/>
              <w:ind w:left="224" w:right="432"/>
              <w:jc w:val="both"/>
              <w:rPr>
                <w:rFonts w:eastAsia="Arial" w:cs="Arial"/>
                <w:lang w:eastAsia="en-GB"/>
              </w:rPr>
            </w:pPr>
            <w:r w:rsidRPr="00FD02B8">
              <w:rPr>
                <w:rFonts w:eastAsia="Arial" w:cs="Arial"/>
                <w:b/>
                <w:bCs/>
                <w:lang w:eastAsia="en-GB"/>
              </w:rPr>
              <w:t>Risk 1</w:t>
            </w:r>
            <w:r w:rsidR="479C7242" w:rsidRPr="00FD02B8">
              <w:rPr>
                <w:rFonts w:eastAsia="Arial" w:cs="Arial"/>
                <w:lang w:eastAsia="en-GB"/>
              </w:rPr>
              <w:t xml:space="preserve"> </w:t>
            </w:r>
            <w:r w:rsidR="004D3EEC">
              <w:rPr>
                <w:rFonts w:eastAsia="Arial" w:cs="Arial"/>
                <w:lang w:eastAsia="en-GB"/>
              </w:rPr>
              <w:t>-</w:t>
            </w:r>
            <w:r w:rsidR="479C7242" w:rsidRPr="00FD02B8">
              <w:rPr>
                <w:rFonts w:eastAsia="Arial" w:cs="Arial"/>
                <w:lang w:eastAsia="en-GB"/>
              </w:rPr>
              <w:t xml:space="preserve"> </w:t>
            </w:r>
            <w:r w:rsidR="479C7242" w:rsidRPr="00FD02B8">
              <w:rPr>
                <w:rFonts w:eastAsia="Arial" w:cs="Arial"/>
                <w:b/>
                <w:bCs/>
                <w:lang w:eastAsia="en-GB"/>
              </w:rPr>
              <w:t>The College is in financial difficulty</w:t>
            </w:r>
            <w:r w:rsidR="6C31B67E" w:rsidRPr="00FD02B8">
              <w:rPr>
                <w:rFonts w:eastAsia="Arial" w:cs="Arial"/>
                <w:b/>
                <w:bCs/>
                <w:lang w:eastAsia="en-GB"/>
              </w:rPr>
              <w:t xml:space="preserve"> </w:t>
            </w:r>
            <w:r w:rsidR="004D3EEC">
              <w:rPr>
                <w:rFonts w:eastAsia="Arial" w:cs="Arial"/>
                <w:b/>
                <w:bCs/>
                <w:lang w:eastAsia="en-GB"/>
              </w:rPr>
              <w:t>-</w:t>
            </w:r>
            <w:r w:rsidR="6C31B67E" w:rsidRPr="00FD02B8">
              <w:rPr>
                <w:rFonts w:eastAsia="Arial" w:cs="Arial"/>
                <w:b/>
                <w:bCs/>
                <w:lang w:eastAsia="en-GB"/>
              </w:rPr>
              <w:t xml:space="preserve"> LOW RISK</w:t>
            </w:r>
          </w:p>
          <w:p w14:paraId="752A09C7" w14:textId="0EDEB292" w:rsidR="004F3FB4" w:rsidRPr="00FD02B8" w:rsidRDefault="1353BEC0" w:rsidP="004D3EEC">
            <w:pPr>
              <w:spacing w:before="120" w:after="120"/>
              <w:ind w:left="224" w:right="175"/>
              <w:jc w:val="both"/>
              <w:rPr>
                <w:rFonts w:eastAsia="Arial" w:cs="Arial"/>
                <w:szCs w:val="22"/>
              </w:rPr>
            </w:pPr>
            <w:r w:rsidRPr="00FD02B8">
              <w:rPr>
                <w:rFonts w:eastAsia="Arial" w:cs="Arial"/>
                <w:szCs w:val="22"/>
              </w:rPr>
              <w:t>The risk that the College as a whole will be unable to operate due to financial instability is low. At the end of 2019 the College has been officially graded as ‘requires improvement’ financial health, based on the formulae issued by the ESFA. The College has submitted its three-year plan which extends to 2021-22 to the funding body and a surplus is forecast to be generated each year. Accordingly, the College has a reasonable expectation that it has adequate resources to continue in operational existence for the foreseeable future.</w:t>
            </w:r>
          </w:p>
          <w:p w14:paraId="330AF380" w14:textId="5F4B33CA" w:rsidR="004F3FB4" w:rsidRPr="00FD02B8" w:rsidRDefault="002F498D" w:rsidP="004D3EEC">
            <w:pPr>
              <w:spacing w:before="120" w:after="120"/>
              <w:ind w:left="224" w:right="175"/>
              <w:jc w:val="both"/>
              <w:rPr>
                <w:rFonts w:eastAsia="Arial" w:cs="Arial"/>
                <w:b/>
                <w:bCs/>
                <w:lang w:eastAsia="en-GB"/>
              </w:rPr>
            </w:pPr>
            <w:r w:rsidRPr="00FD02B8">
              <w:rPr>
                <w:rFonts w:eastAsia="Arial" w:cs="Arial"/>
                <w:b/>
                <w:bCs/>
                <w:lang w:eastAsia="en-GB"/>
              </w:rPr>
              <w:t>Risk 2</w:t>
            </w:r>
            <w:r w:rsidR="4705BB9B" w:rsidRPr="00FD02B8">
              <w:rPr>
                <w:rFonts w:eastAsia="Arial" w:cs="Arial"/>
                <w:lang w:eastAsia="en-GB"/>
              </w:rPr>
              <w:t xml:space="preserve"> </w:t>
            </w:r>
            <w:r w:rsidR="004D3EEC">
              <w:rPr>
                <w:rFonts w:eastAsia="Arial" w:cs="Arial"/>
                <w:lang w:eastAsia="en-GB"/>
              </w:rPr>
              <w:t>-</w:t>
            </w:r>
            <w:r w:rsidR="4705BB9B" w:rsidRPr="00FD02B8">
              <w:rPr>
                <w:rFonts w:eastAsia="Arial" w:cs="Arial"/>
                <w:lang w:eastAsia="en-GB"/>
              </w:rPr>
              <w:t xml:space="preserve"> </w:t>
            </w:r>
            <w:r w:rsidR="4705BB9B" w:rsidRPr="00FD02B8">
              <w:rPr>
                <w:rFonts w:eastAsia="Arial" w:cs="Arial"/>
                <w:b/>
                <w:bCs/>
                <w:lang w:eastAsia="en-GB"/>
              </w:rPr>
              <w:t>The College is unable to deliver Higher Education Courses</w:t>
            </w:r>
            <w:r w:rsidR="4E3A2D75" w:rsidRPr="00FD02B8">
              <w:rPr>
                <w:rFonts w:eastAsia="Arial" w:cs="Arial"/>
                <w:b/>
                <w:bCs/>
                <w:lang w:eastAsia="en-GB"/>
              </w:rPr>
              <w:t xml:space="preserve"> </w:t>
            </w:r>
            <w:r w:rsidR="004D3EEC">
              <w:rPr>
                <w:rFonts w:eastAsia="Arial" w:cs="Arial"/>
                <w:b/>
                <w:bCs/>
                <w:lang w:eastAsia="en-GB"/>
              </w:rPr>
              <w:t>-</w:t>
            </w:r>
            <w:r w:rsidR="4E3A2D75" w:rsidRPr="00FD02B8">
              <w:rPr>
                <w:rFonts w:eastAsia="Arial" w:cs="Arial"/>
                <w:b/>
                <w:bCs/>
                <w:lang w:eastAsia="en-GB"/>
              </w:rPr>
              <w:t xml:space="preserve"> LOW RISK</w:t>
            </w:r>
          </w:p>
          <w:p w14:paraId="020C3C00" w14:textId="6BB0100C" w:rsidR="004F3FB4" w:rsidRPr="00FD02B8" w:rsidRDefault="0D2E17DB" w:rsidP="004D3EEC">
            <w:pPr>
              <w:spacing w:before="120" w:after="120"/>
              <w:ind w:left="224" w:right="175"/>
              <w:jc w:val="both"/>
              <w:rPr>
                <w:rFonts w:eastAsia="Arial" w:cs="Arial"/>
                <w:lang w:eastAsia="en-GB"/>
              </w:rPr>
            </w:pPr>
            <w:r w:rsidRPr="00FD02B8">
              <w:rPr>
                <w:rFonts w:eastAsia="Arial" w:cs="Arial"/>
                <w:lang w:eastAsia="en-GB"/>
              </w:rPr>
              <w:t>The risk that we will no longer deliver Higher Education</w:t>
            </w:r>
            <w:r w:rsidR="004F3FB4" w:rsidRPr="00FD02B8">
              <w:rPr>
                <w:rFonts w:eastAsia="Arial" w:cs="Arial"/>
                <w:lang w:eastAsia="en-GB"/>
              </w:rPr>
              <w:t xml:space="preserve"> (HE)</w:t>
            </w:r>
            <w:r w:rsidR="00C525CB" w:rsidRPr="00FD02B8">
              <w:rPr>
                <w:rFonts w:eastAsia="Arial" w:cs="Arial"/>
                <w:lang w:eastAsia="en-GB"/>
              </w:rPr>
              <w:t xml:space="preserve"> courses at the </w:t>
            </w:r>
            <w:r w:rsidR="00762CDB" w:rsidRPr="00FD02B8">
              <w:rPr>
                <w:rFonts w:eastAsia="Arial" w:cs="Arial"/>
                <w:lang w:eastAsia="en-GB"/>
              </w:rPr>
              <w:t>College</w:t>
            </w:r>
            <w:r w:rsidRPr="00FD02B8">
              <w:rPr>
                <w:rFonts w:eastAsia="Arial" w:cs="Arial"/>
                <w:lang w:eastAsia="en-GB"/>
              </w:rPr>
              <w:t xml:space="preserve"> in the next three years is low. The </w:t>
            </w:r>
            <w:r w:rsidR="00762CDB" w:rsidRPr="00FD02B8">
              <w:rPr>
                <w:rFonts w:eastAsia="Arial" w:cs="Arial"/>
                <w:lang w:eastAsia="en-GB"/>
              </w:rPr>
              <w:t>College</w:t>
            </w:r>
            <w:r w:rsidRPr="00FD02B8">
              <w:rPr>
                <w:rFonts w:eastAsia="Arial" w:cs="Arial"/>
                <w:lang w:eastAsia="en-GB"/>
              </w:rPr>
              <w:t xml:space="preserve"> has over 15 years successful history in delivering higher level qualifications and </w:t>
            </w:r>
            <w:r w:rsidR="45C1885F" w:rsidRPr="00FD02B8">
              <w:rPr>
                <w:rFonts w:eastAsia="Arial" w:cs="Arial"/>
                <w:lang w:eastAsia="en-GB"/>
              </w:rPr>
              <w:t>continues to review and develop its HE offer to meet the needs of the local community and the economy</w:t>
            </w:r>
            <w:r w:rsidRPr="00FD02B8">
              <w:rPr>
                <w:rFonts w:eastAsia="Arial" w:cs="Arial"/>
                <w:lang w:eastAsia="en-GB"/>
              </w:rPr>
              <w:t xml:space="preserve">. In November 2017 the HEFCE APR panel considered the available evidence for North Warwickshire and South Leicestershire </w:t>
            </w:r>
            <w:r w:rsidR="00762CDB" w:rsidRPr="00FD02B8">
              <w:rPr>
                <w:rFonts w:eastAsia="Arial" w:cs="Arial"/>
                <w:lang w:eastAsia="en-GB"/>
              </w:rPr>
              <w:t>College</w:t>
            </w:r>
            <w:r w:rsidRPr="00FD02B8">
              <w:rPr>
                <w:rFonts w:eastAsia="Arial" w:cs="Arial"/>
                <w:lang w:eastAsia="en-GB"/>
              </w:rPr>
              <w:t xml:space="preserve"> and concluded that we “Meet requirements with an action plan”. We continue to make good pro</w:t>
            </w:r>
            <w:r w:rsidR="004F3FB4" w:rsidRPr="00FD02B8">
              <w:rPr>
                <w:rFonts w:eastAsia="Arial" w:cs="Arial"/>
                <w:lang w:eastAsia="en-GB"/>
              </w:rPr>
              <w:t>gress against this action plan.</w:t>
            </w:r>
          </w:p>
          <w:p w14:paraId="70B15432" w14:textId="36D5752E" w:rsidR="004F3FB4" w:rsidRPr="00FD02B8" w:rsidRDefault="002F498D" w:rsidP="004D3EEC">
            <w:pPr>
              <w:spacing w:before="120" w:after="120"/>
              <w:ind w:left="224" w:right="175"/>
              <w:jc w:val="both"/>
              <w:rPr>
                <w:rFonts w:eastAsia="Arial" w:cs="Arial"/>
                <w:b/>
                <w:bCs/>
                <w:lang w:eastAsia="en-GB"/>
              </w:rPr>
            </w:pPr>
            <w:r w:rsidRPr="00FD02B8">
              <w:rPr>
                <w:rFonts w:eastAsia="Arial" w:cs="Arial"/>
                <w:b/>
                <w:bCs/>
                <w:lang w:eastAsia="en-GB"/>
              </w:rPr>
              <w:t>Risk 3</w:t>
            </w:r>
            <w:r w:rsidR="182E1B82" w:rsidRPr="00FD02B8">
              <w:rPr>
                <w:rFonts w:eastAsia="Arial" w:cs="Arial"/>
                <w:lang w:eastAsia="en-GB"/>
              </w:rPr>
              <w:t xml:space="preserve"> </w:t>
            </w:r>
            <w:r w:rsidR="004D3EEC">
              <w:rPr>
                <w:rFonts w:eastAsia="Arial" w:cs="Arial"/>
                <w:lang w:eastAsia="en-GB"/>
              </w:rPr>
              <w:t>-</w:t>
            </w:r>
            <w:r w:rsidR="182E1B82" w:rsidRPr="00FD02B8">
              <w:rPr>
                <w:rFonts w:eastAsia="Arial" w:cs="Arial"/>
                <w:b/>
                <w:bCs/>
                <w:lang w:eastAsia="en-GB"/>
              </w:rPr>
              <w:t xml:space="preserve"> The College will close a campus</w:t>
            </w:r>
            <w:r w:rsidR="2E0493BE" w:rsidRPr="00FD02B8">
              <w:rPr>
                <w:rFonts w:eastAsia="Arial" w:cs="Arial"/>
                <w:b/>
                <w:bCs/>
                <w:lang w:eastAsia="en-GB"/>
              </w:rPr>
              <w:t xml:space="preserve"> </w:t>
            </w:r>
            <w:r w:rsidR="004D3EEC">
              <w:rPr>
                <w:rFonts w:eastAsia="Arial" w:cs="Arial"/>
                <w:b/>
                <w:bCs/>
                <w:lang w:eastAsia="en-GB"/>
              </w:rPr>
              <w:t>-</w:t>
            </w:r>
            <w:r w:rsidR="2E0493BE" w:rsidRPr="00FD02B8">
              <w:rPr>
                <w:rFonts w:eastAsia="Arial" w:cs="Arial"/>
                <w:b/>
                <w:bCs/>
                <w:lang w:eastAsia="en-GB"/>
              </w:rPr>
              <w:t xml:space="preserve"> </w:t>
            </w:r>
            <w:r w:rsidR="3BD77C34" w:rsidRPr="00FD02B8">
              <w:rPr>
                <w:rFonts w:eastAsia="Arial" w:cs="Arial"/>
                <w:b/>
                <w:bCs/>
                <w:lang w:eastAsia="en-GB"/>
              </w:rPr>
              <w:t>LOW</w:t>
            </w:r>
            <w:r w:rsidR="2E0493BE" w:rsidRPr="00FD02B8">
              <w:rPr>
                <w:rFonts w:eastAsia="Arial" w:cs="Arial"/>
                <w:b/>
                <w:bCs/>
                <w:lang w:eastAsia="en-GB"/>
              </w:rPr>
              <w:t xml:space="preserve"> RISK</w:t>
            </w:r>
          </w:p>
          <w:p w14:paraId="092DD1A0" w14:textId="5A1E8FF5" w:rsidR="004F3FB4" w:rsidRPr="00FD02B8" w:rsidRDefault="0D2E17DB" w:rsidP="004D3EEC">
            <w:pPr>
              <w:spacing w:before="120" w:after="120"/>
              <w:ind w:left="224" w:right="175"/>
              <w:jc w:val="both"/>
              <w:rPr>
                <w:rFonts w:eastAsia="Arial" w:cs="Arial"/>
                <w:lang w:eastAsia="en-GB"/>
              </w:rPr>
            </w:pPr>
            <w:r w:rsidRPr="00FD02B8">
              <w:rPr>
                <w:rFonts w:eastAsia="Arial" w:cs="Arial"/>
                <w:lang w:eastAsia="en-GB"/>
              </w:rPr>
              <w:t xml:space="preserve">The risk that the </w:t>
            </w:r>
            <w:r w:rsidR="00762CDB" w:rsidRPr="00FD02B8">
              <w:rPr>
                <w:rFonts w:eastAsia="Arial" w:cs="Arial"/>
                <w:lang w:eastAsia="en-GB"/>
              </w:rPr>
              <w:t>College</w:t>
            </w:r>
            <w:r w:rsidRPr="00FD02B8">
              <w:rPr>
                <w:rFonts w:eastAsia="Arial" w:cs="Arial"/>
                <w:lang w:eastAsia="en-GB"/>
              </w:rPr>
              <w:t xml:space="preserve"> will close one or more of its campuses </w:t>
            </w:r>
            <w:r w:rsidR="002F498D" w:rsidRPr="00FD02B8">
              <w:rPr>
                <w:rFonts w:eastAsia="Arial" w:cs="Arial"/>
                <w:lang w:eastAsia="en-GB"/>
              </w:rPr>
              <w:t xml:space="preserve">in the foreseeable future </w:t>
            </w:r>
            <w:r w:rsidR="00FD02B8" w:rsidRPr="00FD02B8">
              <w:rPr>
                <w:rFonts w:eastAsia="Arial" w:cs="Arial"/>
                <w:lang w:eastAsia="en-GB"/>
              </w:rPr>
              <w:t>is highly</w:t>
            </w:r>
            <w:r w:rsidR="004F3FB4" w:rsidRPr="00FD02B8">
              <w:rPr>
                <w:rFonts w:eastAsia="Arial" w:cs="Arial"/>
                <w:lang w:eastAsia="en-GB"/>
              </w:rPr>
              <w:t xml:space="preserve"> unlikely</w:t>
            </w:r>
            <w:r w:rsidRPr="00FD02B8">
              <w:rPr>
                <w:rFonts w:eastAsia="Arial" w:cs="Arial"/>
                <w:lang w:eastAsia="en-GB"/>
              </w:rPr>
              <w:t xml:space="preserve">. We are currently reviewing the facilities at our Nuneaton Campus to make sure that we continue to provide a high-quality student experience that is fit for future skills developments. We are committed to retaining a strong presence in Nuneaton and our plans are focused around the redevelopment of high-quality campus facilities at our current location. </w:t>
            </w:r>
          </w:p>
          <w:p w14:paraId="7293618E" w14:textId="5E25E252" w:rsidR="004F3FB4" w:rsidRPr="00FD02B8" w:rsidRDefault="002F498D" w:rsidP="004D3EEC">
            <w:pPr>
              <w:spacing w:before="120" w:after="120"/>
              <w:ind w:left="224" w:right="175"/>
              <w:jc w:val="both"/>
              <w:rPr>
                <w:rFonts w:eastAsia="Arial" w:cs="Arial"/>
                <w:b/>
                <w:bCs/>
              </w:rPr>
            </w:pPr>
            <w:r w:rsidRPr="00FD02B8">
              <w:rPr>
                <w:rFonts w:eastAsia="Arial" w:cs="Arial"/>
                <w:b/>
                <w:bCs/>
              </w:rPr>
              <w:t>Risk 4</w:t>
            </w:r>
            <w:r w:rsidR="1F1E3D93" w:rsidRPr="00FD02B8">
              <w:rPr>
                <w:rFonts w:eastAsia="Arial" w:cs="Arial"/>
              </w:rPr>
              <w:t xml:space="preserve"> </w:t>
            </w:r>
            <w:r w:rsidR="004D3EEC">
              <w:rPr>
                <w:rFonts w:eastAsia="Arial" w:cs="Arial"/>
              </w:rPr>
              <w:t>-</w:t>
            </w:r>
            <w:r w:rsidR="1F1E3D93" w:rsidRPr="00FD02B8">
              <w:rPr>
                <w:rFonts w:eastAsia="Arial" w:cs="Arial"/>
              </w:rPr>
              <w:t xml:space="preserve"> </w:t>
            </w:r>
            <w:r w:rsidR="1F1E3D93" w:rsidRPr="00FD02B8">
              <w:rPr>
                <w:rFonts w:eastAsia="Arial" w:cs="Arial"/>
                <w:b/>
                <w:bCs/>
              </w:rPr>
              <w:t xml:space="preserve">The </w:t>
            </w:r>
            <w:r w:rsidR="352E8503" w:rsidRPr="00FD02B8">
              <w:rPr>
                <w:rFonts w:eastAsia="Arial" w:cs="Arial"/>
                <w:b/>
                <w:bCs/>
              </w:rPr>
              <w:t>C</w:t>
            </w:r>
            <w:r w:rsidR="1F1E3D93" w:rsidRPr="00FD02B8">
              <w:rPr>
                <w:rFonts w:eastAsia="Arial" w:cs="Arial"/>
                <w:b/>
                <w:bCs/>
              </w:rPr>
              <w:t xml:space="preserve">ollege will suspend or close a programme </w:t>
            </w:r>
            <w:r w:rsidR="004D3EEC">
              <w:rPr>
                <w:rFonts w:eastAsia="Arial" w:cs="Arial"/>
                <w:b/>
                <w:bCs/>
              </w:rPr>
              <w:t>-</w:t>
            </w:r>
            <w:r w:rsidR="1F1E3D93" w:rsidRPr="00FD02B8">
              <w:rPr>
                <w:rFonts w:eastAsia="Arial" w:cs="Arial"/>
                <w:b/>
                <w:bCs/>
              </w:rPr>
              <w:t xml:space="preserve"> MODERATE RISK</w:t>
            </w:r>
          </w:p>
          <w:p w14:paraId="70758602" w14:textId="729A31B4" w:rsidR="004F3FB4" w:rsidRPr="00FD02B8" w:rsidRDefault="0D2E17DB" w:rsidP="004D3EEC">
            <w:pPr>
              <w:spacing w:before="120" w:after="120"/>
              <w:ind w:left="224" w:right="175"/>
              <w:jc w:val="both"/>
              <w:rPr>
                <w:rFonts w:eastAsia="Arial" w:cs="Arial"/>
              </w:rPr>
            </w:pPr>
            <w:r w:rsidRPr="00FD02B8">
              <w:rPr>
                <w:rFonts w:eastAsia="Arial" w:cs="Arial"/>
              </w:rPr>
              <w:lastRenderedPageBreak/>
              <w:t xml:space="preserve">The risk that we may suspend or close a programme from our portfolio is moderate as recruitment patterns on individual programmes are variable each year and consideration has to be given to financial viability. </w:t>
            </w:r>
          </w:p>
          <w:p w14:paraId="7CF719BD" w14:textId="62824618" w:rsidR="004F3FB4" w:rsidRPr="00FD02B8" w:rsidRDefault="002F498D" w:rsidP="004D3EEC">
            <w:pPr>
              <w:spacing w:before="120" w:after="120"/>
              <w:ind w:left="224" w:right="175"/>
              <w:jc w:val="both"/>
              <w:rPr>
                <w:rFonts w:eastAsia="Arial" w:cs="Arial"/>
              </w:rPr>
            </w:pPr>
            <w:r w:rsidRPr="00FD02B8">
              <w:rPr>
                <w:rFonts w:eastAsia="Arial" w:cs="Arial"/>
                <w:b/>
                <w:bCs/>
              </w:rPr>
              <w:t>Risk 5</w:t>
            </w:r>
            <w:r w:rsidR="478B7897" w:rsidRPr="00FD02B8">
              <w:rPr>
                <w:rFonts w:eastAsia="Arial" w:cs="Arial"/>
                <w:b/>
                <w:bCs/>
              </w:rPr>
              <w:t xml:space="preserve"> </w:t>
            </w:r>
            <w:r w:rsidR="00C33820">
              <w:rPr>
                <w:rFonts w:eastAsia="Arial" w:cs="Arial"/>
                <w:b/>
                <w:bCs/>
              </w:rPr>
              <w:t>-</w:t>
            </w:r>
            <w:r w:rsidR="004D3EEC">
              <w:rPr>
                <w:rFonts w:eastAsia="Arial" w:cs="Arial"/>
                <w:b/>
                <w:bCs/>
              </w:rPr>
              <w:t xml:space="preserve"> </w:t>
            </w:r>
            <w:r w:rsidR="478B7897" w:rsidRPr="00FD02B8">
              <w:rPr>
                <w:rFonts w:eastAsia="Arial" w:cs="Arial"/>
                <w:b/>
                <w:bCs/>
              </w:rPr>
              <w:t xml:space="preserve">The College will not be able to deliver specific requirements of out BTEC HND Programmes </w:t>
            </w:r>
            <w:r w:rsidR="00C33820">
              <w:rPr>
                <w:rFonts w:eastAsia="Arial" w:cs="Arial"/>
                <w:b/>
                <w:bCs/>
              </w:rPr>
              <w:t>-</w:t>
            </w:r>
            <w:r w:rsidR="478B7897" w:rsidRPr="00FD02B8">
              <w:rPr>
                <w:rFonts w:eastAsia="Arial" w:cs="Arial"/>
                <w:b/>
                <w:bCs/>
              </w:rPr>
              <w:t xml:space="preserve"> LOW RISK</w:t>
            </w:r>
          </w:p>
          <w:p w14:paraId="4FD79BC6" w14:textId="26545CD1" w:rsidR="004F3FB4" w:rsidRPr="00FD02B8" w:rsidRDefault="0D2E17DB" w:rsidP="004D3EEC">
            <w:pPr>
              <w:spacing w:before="120" w:after="120"/>
              <w:ind w:left="224" w:right="175"/>
              <w:jc w:val="both"/>
              <w:rPr>
                <w:rFonts w:eastAsia="Arial" w:cs="Arial"/>
              </w:rPr>
            </w:pPr>
            <w:r w:rsidRPr="00FD02B8">
              <w:rPr>
                <w:rFonts w:eastAsia="Arial" w:cs="Arial"/>
              </w:rPr>
              <w:t xml:space="preserve">The risk that we will not be able to deliver specific requirements of our BTEC HND Programmes  is low because our programmes are designed to be delivered collaboratively by teams of staff with relevant qualification, skills and expertise and do not rely on individual members of staff to facilitate. There is also flexibility in the selection of units for programme design to meet the changing demands of students and industry. </w:t>
            </w:r>
          </w:p>
          <w:p w14:paraId="64A95EBC" w14:textId="0507B20A" w:rsidR="004F3FB4" w:rsidRPr="00FD02B8" w:rsidRDefault="002F498D" w:rsidP="004D3EEC">
            <w:pPr>
              <w:spacing w:before="120" w:after="120"/>
              <w:ind w:left="224" w:right="175"/>
              <w:jc w:val="both"/>
              <w:rPr>
                <w:rFonts w:eastAsia="Arial" w:cs="Arial"/>
                <w:b/>
                <w:bCs/>
              </w:rPr>
            </w:pPr>
            <w:r w:rsidRPr="00FD02B8">
              <w:rPr>
                <w:rFonts w:eastAsia="Arial" w:cs="Arial"/>
                <w:b/>
                <w:bCs/>
              </w:rPr>
              <w:t>Risk 6</w:t>
            </w:r>
            <w:r w:rsidRPr="00FD02B8">
              <w:rPr>
                <w:rFonts w:eastAsia="Arial" w:cs="Arial"/>
              </w:rPr>
              <w:t xml:space="preserve"> -</w:t>
            </w:r>
            <w:r w:rsidR="3BD66866" w:rsidRPr="00FD02B8">
              <w:rPr>
                <w:rFonts w:eastAsia="Arial" w:cs="Arial"/>
                <w:b/>
                <w:bCs/>
              </w:rPr>
              <w:t xml:space="preserve"> The </w:t>
            </w:r>
            <w:r w:rsidR="004D3EEC">
              <w:rPr>
                <w:rFonts w:eastAsia="Arial" w:cs="Arial"/>
                <w:b/>
                <w:bCs/>
              </w:rPr>
              <w:t>C</w:t>
            </w:r>
            <w:r w:rsidR="3BD66866" w:rsidRPr="00FD02B8">
              <w:rPr>
                <w:rFonts w:eastAsia="Arial" w:cs="Arial"/>
                <w:b/>
                <w:bCs/>
              </w:rPr>
              <w:t xml:space="preserve">ollege will suspend or close programmes with franchised and validated provision with partner universities </w:t>
            </w:r>
            <w:r w:rsidR="004D3EEC">
              <w:rPr>
                <w:rFonts w:eastAsia="Arial" w:cs="Arial"/>
                <w:b/>
                <w:bCs/>
              </w:rPr>
              <w:t>-</w:t>
            </w:r>
            <w:r w:rsidR="3BD66866" w:rsidRPr="00FD02B8">
              <w:rPr>
                <w:rFonts w:eastAsia="Arial" w:cs="Arial"/>
                <w:b/>
                <w:bCs/>
              </w:rPr>
              <w:t xml:space="preserve"> MODERATE R</w:t>
            </w:r>
            <w:r w:rsidR="27AF385F" w:rsidRPr="00FD02B8">
              <w:rPr>
                <w:rFonts w:eastAsia="Arial" w:cs="Arial"/>
                <w:b/>
                <w:bCs/>
              </w:rPr>
              <w:t>ISK</w:t>
            </w:r>
            <w:r w:rsidRPr="00FD02B8">
              <w:rPr>
                <w:rFonts w:eastAsia="Arial" w:cs="Arial"/>
                <w:b/>
                <w:bCs/>
              </w:rPr>
              <w:t xml:space="preserve"> </w:t>
            </w:r>
          </w:p>
          <w:p w14:paraId="147D4D19" w14:textId="012AEC15" w:rsidR="004F3FB4" w:rsidRPr="00FD02B8" w:rsidRDefault="0D2E17DB" w:rsidP="004D3EEC">
            <w:pPr>
              <w:spacing w:before="120" w:after="120"/>
              <w:ind w:left="224" w:right="175"/>
              <w:jc w:val="both"/>
              <w:rPr>
                <w:rFonts w:eastAsia="Arial" w:cs="Arial"/>
              </w:rPr>
            </w:pPr>
            <w:r w:rsidRPr="00FD02B8">
              <w:rPr>
                <w:rFonts w:eastAsia="Arial" w:cs="Arial"/>
              </w:rPr>
              <w:t xml:space="preserve">The risk that we will not be able to deliver specific requirements of our franchised and validated provision with partner universities is moderate because we are dependent on a relatively small number of staff who are familiar with the specifics of the programme specification, quality assurance processes and university regulations. </w:t>
            </w:r>
          </w:p>
          <w:p w14:paraId="5F02D99A" w14:textId="35B46F85" w:rsidR="007B4AD4" w:rsidRPr="00FD02B8" w:rsidRDefault="002F498D" w:rsidP="004D3EEC">
            <w:pPr>
              <w:spacing w:before="120" w:after="120"/>
              <w:ind w:left="224" w:right="175"/>
              <w:jc w:val="both"/>
              <w:rPr>
                <w:rFonts w:eastAsia="Arial" w:cs="Arial"/>
                <w:b/>
                <w:bCs/>
              </w:rPr>
            </w:pPr>
            <w:r w:rsidRPr="00FD02B8">
              <w:rPr>
                <w:rFonts w:eastAsia="Arial" w:cs="Arial"/>
                <w:b/>
                <w:bCs/>
              </w:rPr>
              <w:t>Risk 7</w:t>
            </w:r>
            <w:r w:rsidR="447C6181" w:rsidRPr="00FD02B8">
              <w:rPr>
                <w:rFonts w:eastAsia="Arial" w:cs="Arial"/>
              </w:rPr>
              <w:t xml:space="preserve"> </w:t>
            </w:r>
            <w:r w:rsidR="004D3EEC">
              <w:rPr>
                <w:rFonts w:eastAsia="Arial" w:cs="Arial"/>
              </w:rPr>
              <w:t>-</w:t>
            </w:r>
            <w:r w:rsidR="447C6181" w:rsidRPr="00FD02B8">
              <w:rPr>
                <w:rFonts w:eastAsia="Arial" w:cs="Arial"/>
              </w:rPr>
              <w:t xml:space="preserve"> </w:t>
            </w:r>
            <w:r w:rsidR="447C6181" w:rsidRPr="00FD02B8">
              <w:rPr>
                <w:rFonts w:eastAsia="Arial" w:cs="Arial"/>
                <w:b/>
                <w:bCs/>
              </w:rPr>
              <w:t xml:space="preserve">Termination of contract from Partner Universities </w:t>
            </w:r>
            <w:r w:rsidR="004D3EEC">
              <w:rPr>
                <w:rFonts w:eastAsia="Arial" w:cs="Arial"/>
                <w:b/>
                <w:bCs/>
              </w:rPr>
              <w:t>-</w:t>
            </w:r>
            <w:r w:rsidR="447C6181" w:rsidRPr="00FD02B8">
              <w:rPr>
                <w:rFonts w:eastAsia="Arial" w:cs="Arial"/>
                <w:b/>
                <w:bCs/>
              </w:rPr>
              <w:t xml:space="preserve"> LOW RISK</w:t>
            </w:r>
          </w:p>
          <w:p w14:paraId="2AB58A83" w14:textId="7DC2350A" w:rsidR="007B4AD4" w:rsidRPr="00FD02B8" w:rsidRDefault="0D2E17DB" w:rsidP="004D3EEC">
            <w:pPr>
              <w:spacing w:before="120" w:after="120"/>
              <w:ind w:left="224" w:right="175"/>
              <w:jc w:val="both"/>
              <w:rPr>
                <w:rFonts w:eastAsia="Arial" w:cs="Arial"/>
              </w:rPr>
            </w:pPr>
            <w:r w:rsidRPr="00FD02B8">
              <w:rPr>
                <w:rFonts w:eastAsia="Arial" w:cs="Arial"/>
              </w:rPr>
              <w:t>We value our long-standing relationships with Coventry University</w:t>
            </w:r>
            <w:r w:rsidR="003F4E78" w:rsidRPr="00FD02B8">
              <w:rPr>
                <w:rFonts w:eastAsia="Arial" w:cs="Arial"/>
              </w:rPr>
              <w:t>, The</w:t>
            </w:r>
            <w:r w:rsidRPr="00FD02B8">
              <w:rPr>
                <w:rFonts w:eastAsia="Arial" w:cs="Arial"/>
              </w:rPr>
              <w:t xml:space="preserve"> University of Warwick and The University of West London however we recognise that there is always a risk of termination of contract</w:t>
            </w:r>
            <w:r w:rsidR="00753099" w:rsidRPr="00FD02B8">
              <w:rPr>
                <w:rFonts w:eastAsia="Arial" w:cs="Arial"/>
              </w:rPr>
              <w:t xml:space="preserve"> for reasons that are beyond our control</w:t>
            </w:r>
            <w:r w:rsidRPr="00FD02B8">
              <w:rPr>
                <w:rFonts w:eastAsia="Arial" w:cs="Arial"/>
              </w:rPr>
              <w:t>.</w:t>
            </w:r>
            <w:r w:rsidRPr="00FD02B8">
              <w:rPr>
                <w:rFonts w:eastAsia="Arial" w:cs="Arial"/>
                <w:b/>
                <w:bCs/>
              </w:rPr>
              <w:t xml:space="preserve"> </w:t>
            </w:r>
            <w:r w:rsidRPr="00FD02B8">
              <w:rPr>
                <w:rFonts w:eastAsia="Arial" w:cs="Arial"/>
              </w:rPr>
              <w:t xml:space="preserve"> Due to contractual agreements and due diligence this risk is low.</w:t>
            </w:r>
          </w:p>
          <w:p w14:paraId="63F93CFA" w14:textId="0447D24D" w:rsidR="578A1473" w:rsidRPr="00C33820" w:rsidRDefault="578A1473" w:rsidP="004D3EEC">
            <w:pPr>
              <w:spacing w:before="120" w:after="120"/>
              <w:ind w:left="224" w:right="175"/>
              <w:jc w:val="both"/>
              <w:rPr>
                <w:rFonts w:eastAsia="Arial" w:cs="Arial"/>
                <w:b/>
              </w:rPr>
            </w:pPr>
            <w:r w:rsidRPr="00C33820">
              <w:rPr>
                <w:rFonts w:eastAsia="Arial" w:cs="Arial"/>
                <w:b/>
              </w:rPr>
              <w:t>Risk 8</w:t>
            </w:r>
            <w:r w:rsidR="200B5143" w:rsidRPr="00C33820">
              <w:rPr>
                <w:rFonts w:eastAsia="Arial" w:cs="Arial"/>
                <w:b/>
              </w:rPr>
              <w:t xml:space="preserve"> </w:t>
            </w:r>
            <w:r w:rsidR="004D3EEC">
              <w:rPr>
                <w:rFonts w:eastAsia="Arial" w:cs="Arial"/>
                <w:b/>
              </w:rPr>
              <w:t>-</w:t>
            </w:r>
            <w:r w:rsidR="200B5143" w:rsidRPr="00C33820">
              <w:rPr>
                <w:rFonts w:eastAsia="Arial" w:cs="Arial"/>
                <w:b/>
              </w:rPr>
              <w:t xml:space="preserve"> Campus Closure due to COVID-19 or Government Advice</w:t>
            </w:r>
            <w:r w:rsidR="21B8E009" w:rsidRPr="00C33820">
              <w:rPr>
                <w:rFonts w:eastAsia="Arial" w:cs="Arial"/>
                <w:b/>
              </w:rPr>
              <w:t xml:space="preserve"> </w:t>
            </w:r>
            <w:r w:rsidR="004D3EEC">
              <w:rPr>
                <w:rFonts w:eastAsia="Arial" w:cs="Arial"/>
                <w:b/>
              </w:rPr>
              <w:t>-</w:t>
            </w:r>
            <w:r w:rsidR="21B8E009" w:rsidRPr="00C33820">
              <w:rPr>
                <w:rFonts w:eastAsia="Arial" w:cs="Arial"/>
                <w:b/>
              </w:rPr>
              <w:t xml:space="preserve"> MODERATE RISK</w:t>
            </w:r>
          </w:p>
          <w:p w14:paraId="1D0FD9FA" w14:textId="1C011873" w:rsidR="007B4AD4" w:rsidRPr="00FD02B8" w:rsidRDefault="21B8E009" w:rsidP="004D3EEC">
            <w:pPr>
              <w:spacing w:before="120" w:after="120"/>
              <w:ind w:left="224" w:right="175"/>
              <w:jc w:val="both"/>
              <w:rPr>
                <w:rFonts w:ascii="Calibri" w:hAnsi="Calibri" w:cs="Calibri"/>
              </w:rPr>
            </w:pPr>
            <w:r w:rsidRPr="00FD02B8">
              <w:rPr>
                <w:rFonts w:eastAsia="Arial" w:cs="Arial"/>
                <w:szCs w:val="22"/>
              </w:rPr>
              <w:t xml:space="preserve">The </w:t>
            </w:r>
            <w:r w:rsidR="459ACBF7" w:rsidRPr="00FD02B8">
              <w:rPr>
                <w:rFonts w:eastAsia="Arial" w:cs="Arial"/>
                <w:szCs w:val="22"/>
              </w:rPr>
              <w:t>C</w:t>
            </w:r>
            <w:r w:rsidRPr="00FD02B8">
              <w:rPr>
                <w:rFonts w:eastAsia="Arial" w:cs="Arial"/>
                <w:szCs w:val="22"/>
              </w:rPr>
              <w:t xml:space="preserve">oronavirus pandemic prevents a risk to the continuation of on campus </w:t>
            </w:r>
            <w:r w:rsidR="437918BA" w:rsidRPr="00FD02B8">
              <w:rPr>
                <w:rFonts w:eastAsia="Arial" w:cs="Arial"/>
                <w:szCs w:val="22"/>
              </w:rPr>
              <w:t xml:space="preserve">face to face </w:t>
            </w:r>
            <w:r w:rsidRPr="00FD02B8">
              <w:rPr>
                <w:rFonts w:eastAsia="Arial" w:cs="Arial"/>
                <w:szCs w:val="22"/>
              </w:rPr>
              <w:t xml:space="preserve">teaching learning and assessment across the </w:t>
            </w:r>
            <w:r w:rsidR="6782BAA3" w:rsidRPr="00FD02B8">
              <w:rPr>
                <w:rFonts w:eastAsia="Arial" w:cs="Arial"/>
                <w:szCs w:val="22"/>
              </w:rPr>
              <w:t>College</w:t>
            </w:r>
            <w:r w:rsidR="43CB0008" w:rsidRPr="00FD02B8">
              <w:rPr>
                <w:rFonts w:eastAsia="Arial" w:cs="Arial"/>
                <w:szCs w:val="22"/>
              </w:rPr>
              <w:t>’s Higher Education provision.</w:t>
            </w:r>
            <w:r w:rsidR="6782BAA3" w:rsidRPr="00FD02B8">
              <w:rPr>
                <w:rFonts w:eastAsia="Arial" w:cs="Arial"/>
                <w:szCs w:val="22"/>
              </w:rPr>
              <w:t xml:space="preserve"> </w:t>
            </w:r>
          </w:p>
        </w:tc>
      </w:tr>
      <w:tr w:rsidR="00FD02B8" w:rsidRPr="00FD02B8" w14:paraId="76975D3C" w14:textId="77777777" w:rsidTr="00FD02B8">
        <w:trPr>
          <w:cantSplit w:val="0"/>
        </w:trPr>
        <w:tc>
          <w:tcPr>
            <w:tcW w:w="10431" w:type="dxa"/>
            <w:tcBorders>
              <w:bottom w:val="nil"/>
            </w:tcBorders>
          </w:tcPr>
          <w:p w14:paraId="6767E99A" w14:textId="77777777" w:rsidR="007B4AD4" w:rsidRPr="00C33820" w:rsidRDefault="0D2E17DB" w:rsidP="004D3EEC">
            <w:pPr>
              <w:spacing w:before="120" w:after="120"/>
              <w:ind w:left="224" w:hanging="224"/>
              <w:jc w:val="both"/>
              <w:rPr>
                <w:rFonts w:cs="Arial"/>
                <w:b/>
                <w:bCs/>
              </w:rPr>
            </w:pPr>
            <w:r w:rsidRPr="00C33820">
              <w:rPr>
                <w:rFonts w:cs="Arial"/>
                <w:b/>
                <w:bCs/>
              </w:rPr>
              <w:lastRenderedPageBreak/>
              <w:t>2. The measures that you have put in place to mitigate those risks that you consider to be reasonably likely to crystallise</w:t>
            </w:r>
          </w:p>
          <w:p w14:paraId="749AED87" w14:textId="5247C3FA" w:rsidR="00753099" w:rsidRPr="00C33820" w:rsidRDefault="00753099" w:rsidP="004D3EEC">
            <w:pPr>
              <w:spacing w:before="120" w:after="120"/>
              <w:ind w:left="224"/>
              <w:rPr>
                <w:rFonts w:cs="Arial"/>
                <w:b/>
                <w:bCs/>
              </w:rPr>
            </w:pPr>
            <w:r w:rsidRPr="00C33820">
              <w:rPr>
                <w:rFonts w:eastAsiaTheme="minorEastAsia" w:cs="Arial"/>
                <w:b/>
                <w:lang w:eastAsia="en-GB"/>
              </w:rPr>
              <w:t xml:space="preserve">Appropriate mitigations </w:t>
            </w:r>
            <w:r w:rsidR="002F498D" w:rsidRPr="00C33820">
              <w:rPr>
                <w:rFonts w:eastAsiaTheme="minorEastAsia" w:cs="Arial"/>
                <w:b/>
                <w:lang w:eastAsia="en-GB"/>
              </w:rPr>
              <w:t xml:space="preserve">for the higher level risks </w:t>
            </w:r>
            <w:r w:rsidRPr="00C33820">
              <w:rPr>
                <w:rFonts w:eastAsiaTheme="minorEastAsia" w:cs="Arial"/>
                <w:b/>
                <w:lang w:eastAsia="en-GB"/>
              </w:rPr>
              <w:t xml:space="preserve">are </w:t>
            </w:r>
            <w:r w:rsidR="002F498D" w:rsidRPr="00C33820">
              <w:rPr>
                <w:rFonts w:eastAsiaTheme="minorEastAsia" w:cs="Arial"/>
                <w:b/>
                <w:lang w:eastAsia="en-GB"/>
              </w:rPr>
              <w:t xml:space="preserve">as </w:t>
            </w:r>
            <w:r w:rsidRPr="00C33820">
              <w:rPr>
                <w:rFonts w:eastAsiaTheme="minorEastAsia" w:cs="Arial"/>
                <w:b/>
                <w:lang w:eastAsia="en-GB"/>
              </w:rPr>
              <w:t>listed below:</w:t>
            </w:r>
          </w:p>
        </w:tc>
      </w:tr>
      <w:tr w:rsidR="00FD02B8" w:rsidRPr="00FD02B8" w14:paraId="71432A95" w14:textId="77777777" w:rsidTr="00FD02B8">
        <w:trPr>
          <w:cantSplit w:val="0"/>
        </w:trPr>
        <w:tc>
          <w:tcPr>
            <w:tcW w:w="10431" w:type="dxa"/>
            <w:tcBorders>
              <w:top w:val="nil"/>
              <w:bottom w:val="single" w:sz="4" w:space="0" w:color="auto"/>
            </w:tcBorders>
          </w:tcPr>
          <w:p w14:paraId="6A7E4EAC" w14:textId="684A0B31" w:rsidR="00D40C9F" w:rsidRPr="00C33820" w:rsidRDefault="00556F0D" w:rsidP="004D3EEC">
            <w:pPr>
              <w:spacing w:before="120" w:after="120"/>
              <w:ind w:left="224" w:right="175"/>
              <w:jc w:val="both"/>
              <w:rPr>
                <w:rFonts w:cs="Arial"/>
              </w:rPr>
            </w:pPr>
            <w:r w:rsidRPr="00C33820">
              <w:rPr>
                <w:rFonts w:cs="Arial"/>
                <w:b/>
              </w:rPr>
              <w:t>Risk 4</w:t>
            </w:r>
            <w:r w:rsidRPr="00C33820">
              <w:rPr>
                <w:rFonts w:cs="Arial"/>
              </w:rPr>
              <w:t xml:space="preserve"> - </w:t>
            </w:r>
            <w:r w:rsidR="0D2E17DB" w:rsidRPr="00C33820">
              <w:rPr>
                <w:rFonts w:cs="Arial"/>
              </w:rPr>
              <w:t xml:space="preserve">If for reasons of low recruitment, we plan to suspend or close a programme from our portfolio of qualifications, this decision would be made through our curriculum planning process, with the overall consent of the Deputy Principal. In normal circumstances this decision will be made ahead of applications and the programme will be withdrawn from our website and publications. Where this is unavoidable, for example where the projected applications do not convert </w:t>
            </w:r>
            <w:r w:rsidR="0D2E17DB" w:rsidRPr="00C33820">
              <w:rPr>
                <w:rFonts w:cs="Arial"/>
              </w:rPr>
              <w:lastRenderedPageBreak/>
              <w:t xml:space="preserve">to enrolments, students and their representatives shall be consulted at the earliest opportunity on the changes and they shall be furnished with all necessary information, advice and guidance by the </w:t>
            </w:r>
            <w:r w:rsidR="00762CDB" w:rsidRPr="00C33820">
              <w:rPr>
                <w:rFonts w:cs="Arial"/>
              </w:rPr>
              <w:t>College</w:t>
            </w:r>
            <w:r w:rsidR="0D2E17DB" w:rsidRPr="00C33820">
              <w:rPr>
                <w:rFonts w:cs="Arial"/>
              </w:rPr>
              <w:t xml:space="preserve"> to help them make an informed decision on their future course of action. We would also engage with any other external stakeholders who m</w:t>
            </w:r>
            <w:r w:rsidR="00C525CB" w:rsidRPr="00C33820">
              <w:rPr>
                <w:rFonts w:cs="Arial"/>
              </w:rPr>
              <w:t>ay be impacted by the closure e</w:t>
            </w:r>
            <w:r w:rsidR="0D2E17DB" w:rsidRPr="00C33820">
              <w:rPr>
                <w:rFonts w:cs="Arial"/>
              </w:rPr>
              <w:t xml:space="preserve">.g. employer partners. </w:t>
            </w:r>
          </w:p>
          <w:p w14:paraId="67532FA7" w14:textId="7B54BC84" w:rsidR="00D40C9F" w:rsidRPr="00C33820" w:rsidRDefault="00D40C9F" w:rsidP="004D3EEC">
            <w:pPr>
              <w:spacing w:before="120" w:after="120"/>
              <w:ind w:left="224" w:right="175"/>
              <w:jc w:val="both"/>
              <w:rPr>
                <w:rFonts w:cs="Arial"/>
              </w:rPr>
            </w:pPr>
            <w:r w:rsidRPr="00C33820">
              <w:rPr>
                <w:rFonts w:cs="Arial"/>
              </w:rPr>
              <w:t xml:space="preserve">The </w:t>
            </w:r>
            <w:r w:rsidR="00762CDB" w:rsidRPr="00C33820">
              <w:rPr>
                <w:rFonts w:cs="Arial"/>
              </w:rPr>
              <w:t>College</w:t>
            </w:r>
            <w:r w:rsidRPr="00C33820">
              <w:rPr>
                <w:rFonts w:cs="Arial"/>
              </w:rPr>
              <w:t xml:space="preserve"> will endeavour to deliver programmes in accordance with the course description on our website and in our prospectus however in the event of unavoidable changes to the course content in-year, the </w:t>
            </w:r>
            <w:r w:rsidR="00762CDB" w:rsidRPr="00C33820">
              <w:rPr>
                <w:rFonts w:cs="Arial"/>
              </w:rPr>
              <w:t>College</w:t>
            </w:r>
            <w:r w:rsidRPr="00C33820">
              <w:rPr>
                <w:rFonts w:cs="Arial"/>
              </w:rPr>
              <w:t xml:space="preserve"> will ensure that changes are implemented through consultation with students and that changes are restricted to the minimum to maintain quality of delivery and experience.</w:t>
            </w:r>
          </w:p>
          <w:p w14:paraId="304339CB" w14:textId="58715023" w:rsidR="007B4AD4" w:rsidRPr="00C33820" w:rsidRDefault="0D2E17DB" w:rsidP="004D3EEC">
            <w:pPr>
              <w:spacing w:before="120" w:after="120"/>
              <w:ind w:left="224" w:right="175"/>
              <w:jc w:val="both"/>
              <w:rPr>
                <w:rFonts w:cs="Arial"/>
              </w:rPr>
            </w:pPr>
            <w:r w:rsidRPr="00C33820">
              <w:rPr>
                <w:rFonts w:cs="Arial"/>
              </w:rPr>
              <w:t xml:space="preserve">In the unlikely event that the </w:t>
            </w:r>
            <w:r w:rsidR="00762CDB" w:rsidRPr="00C33820">
              <w:rPr>
                <w:rFonts w:cs="Arial"/>
              </w:rPr>
              <w:t>College</w:t>
            </w:r>
            <w:r w:rsidRPr="00C33820">
              <w:rPr>
                <w:rFonts w:cs="Arial"/>
              </w:rPr>
              <w:t xml:space="preserve"> makes a strategic decision to close a programme on which students are already enrolled the </w:t>
            </w:r>
            <w:r w:rsidR="00762CDB" w:rsidRPr="00C33820">
              <w:rPr>
                <w:rFonts w:cs="Arial"/>
              </w:rPr>
              <w:t>College</w:t>
            </w:r>
            <w:r w:rsidRPr="00C33820">
              <w:rPr>
                <w:rFonts w:cs="Arial"/>
              </w:rPr>
              <w:t xml:space="preserve"> would wherever possible 'teach out' allowing affected students to complete their studies before the closure occurs. Where the circumstances are exceptional and 'teach out' is not possible the </w:t>
            </w:r>
            <w:r w:rsidR="00762CDB" w:rsidRPr="00C33820">
              <w:rPr>
                <w:rFonts w:cs="Arial"/>
              </w:rPr>
              <w:t>College</w:t>
            </w:r>
            <w:r w:rsidRPr="00C33820">
              <w:rPr>
                <w:rFonts w:cs="Arial"/>
              </w:rPr>
              <w:t xml:space="preserve"> will seek to support students in transferring to a similar programme and / or provide information support and guidance to transfer to an alternative provider. This will include providing interim certification of achievement.</w:t>
            </w:r>
          </w:p>
          <w:p w14:paraId="112F3D29" w14:textId="209EF409" w:rsidR="007B4AD4" w:rsidRPr="00C33820" w:rsidRDefault="00556F0D" w:rsidP="004D3EEC">
            <w:pPr>
              <w:spacing w:before="120" w:after="120"/>
              <w:ind w:left="224" w:right="175"/>
              <w:jc w:val="both"/>
              <w:rPr>
                <w:rFonts w:cs="Arial"/>
              </w:rPr>
            </w:pPr>
            <w:r w:rsidRPr="00C33820">
              <w:rPr>
                <w:rFonts w:cs="Arial"/>
                <w:b/>
              </w:rPr>
              <w:t>Risk 6</w:t>
            </w:r>
            <w:r w:rsidRPr="00C33820">
              <w:rPr>
                <w:rFonts w:cs="Arial"/>
              </w:rPr>
              <w:t xml:space="preserve"> - </w:t>
            </w:r>
            <w:r w:rsidR="0D2E17DB" w:rsidRPr="00C33820">
              <w:rPr>
                <w:rFonts w:cs="Arial"/>
              </w:rPr>
              <w:t xml:space="preserve">To mitigate the risk of the </w:t>
            </w:r>
            <w:r w:rsidR="00762CDB" w:rsidRPr="00C33820">
              <w:rPr>
                <w:rFonts w:cs="Arial"/>
              </w:rPr>
              <w:t>College</w:t>
            </w:r>
            <w:r w:rsidR="0D2E17DB" w:rsidRPr="00C33820">
              <w:rPr>
                <w:rFonts w:cs="Arial"/>
              </w:rPr>
              <w:t xml:space="preserve"> not being able to deliver specific requirements of our franchised and validated provision with partner universities the Director for </w:t>
            </w:r>
            <w:r w:rsidR="00C525CB" w:rsidRPr="00C33820">
              <w:rPr>
                <w:rFonts w:cs="Arial"/>
              </w:rPr>
              <w:t>HE</w:t>
            </w:r>
            <w:r w:rsidR="0D2E17DB" w:rsidRPr="00C33820">
              <w:rPr>
                <w:rFonts w:cs="Arial"/>
              </w:rPr>
              <w:t xml:space="preserve"> has </w:t>
            </w:r>
            <w:r w:rsidRPr="00C33820">
              <w:rPr>
                <w:rFonts w:cs="Arial"/>
              </w:rPr>
              <w:t>developed appropriate</w:t>
            </w:r>
            <w:r w:rsidR="0D2E17DB" w:rsidRPr="00C33820">
              <w:rPr>
                <w:rFonts w:cs="Arial"/>
              </w:rPr>
              <w:t xml:space="preserve"> contingency and sustainability strategies which includes the widening of the range and depth of knowledge across delivery teams and the identification and development of individuals in to deputising roles. The </w:t>
            </w:r>
            <w:r w:rsidR="00762CDB" w:rsidRPr="00C33820">
              <w:rPr>
                <w:rFonts w:cs="Arial"/>
              </w:rPr>
              <w:t>College</w:t>
            </w:r>
            <w:r w:rsidR="0D2E17DB" w:rsidRPr="00C33820">
              <w:rPr>
                <w:rFonts w:cs="Arial"/>
              </w:rPr>
              <w:t xml:space="preserve"> also maintains regular review and monitoring of programmes in line with the quality assurance processes of our partner universities to identify risks and implement specific support to avoid any long term negative impact.</w:t>
            </w:r>
          </w:p>
          <w:p w14:paraId="1923309D" w14:textId="2A427AFE" w:rsidR="007B4AD4" w:rsidRPr="00C33820" w:rsidRDefault="00D41DF6" w:rsidP="004D3EEC">
            <w:pPr>
              <w:spacing w:before="120" w:after="120"/>
              <w:ind w:left="224" w:right="175"/>
              <w:jc w:val="both"/>
              <w:rPr>
                <w:rFonts w:cs="Arial"/>
              </w:rPr>
            </w:pPr>
            <w:r w:rsidRPr="00C33820">
              <w:rPr>
                <w:rFonts w:cs="Arial"/>
                <w:b/>
              </w:rPr>
              <w:t>Risk 7</w:t>
            </w:r>
            <w:r w:rsidRPr="00C33820">
              <w:rPr>
                <w:rFonts w:cs="Arial"/>
              </w:rPr>
              <w:t xml:space="preserve"> - </w:t>
            </w:r>
            <w:r w:rsidR="0D2E17DB" w:rsidRPr="00C33820">
              <w:rPr>
                <w:rFonts w:cs="Arial"/>
              </w:rPr>
              <w:t>We have agreements and processes in place with partner universities to mitigate the severity of the risk that the decision to terminate a partnership agreement would have on the continuation of study for students on franchised or validated programmes. In the unlikely event that a partnership is dissolved we will be compliant with the partner universities exit strategy pla</w:t>
            </w:r>
            <w:r w:rsidR="00C525CB" w:rsidRPr="00C33820">
              <w:rPr>
                <w:rFonts w:cs="Arial"/>
              </w:rPr>
              <w:t>ns and procedures, for example programme intake suspension and c</w:t>
            </w:r>
            <w:r w:rsidR="0D2E17DB" w:rsidRPr="00C33820">
              <w:rPr>
                <w:rFonts w:cs="Arial"/>
              </w:rPr>
              <w:t>losure procedures, and agree to work in cooperation with the partner institution to ensure all applicants and students are advised of the ending of the partnership and to ensure that all affected students are consulted around the alternative options available including the transfer of students to the partner institution.</w:t>
            </w:r>
          </w:p>
          <w:p w14:paraId="0CD29E4C" w14:textId="196C0D9B" w:rsidR="2C34A1DD" w:rsidRPr="00C33820" w:rsidRDefault="00C33820" w:rsidP="004D3EEC">
            <w:pPr>
              <w:spacing w:before="120" w:after="120"/>
              <w:ind w:left="224" w:right="175"/>
              <w:jc w:val="both"/>
              <w:rPr>
                <w:rFonts w:cs="Arial"/>
              </w:rPr>
            </w:pPr>
            <w:r>
              <w:rPr>
                <w:rFonts w:cs="Arial"/>
                <w:b/>
              </w:rPr>
              <w:t xml:space="preserve">Risk </w:t>
            </w:r>
            <w:r w:rsidR="2C34A1DD" w:rsidRPr="00C33820">
              <w:rPr>
                <w:rFonts w:cs="Arial"/>
                <w:b/>
              </w:rPr>
              <w:t>8</w:t>
            </w:r>
            <w:r w:rsidR="4F8385BF" w:rsidRPr="00C33820">
              <w:rPr>
                <w:rFonts w:cs="Arial"/>
              </w:rPr>
              <w:t xml:space="preserve"> </w:t>
            </w:r>
            <w:r>
              <w:rPr>
                <w:rFonts w:cs="Arial"/>
              </w:rPr>
              <w:t>-</w:t>
            </w:r>
            <w:r w:rsidR="4F8385BF" w:rsidRPr="00C33820">
              <w:rPr>
                <w:rFonts w:cs="Arial"/>
              </w:rPr>
              <w:t xml:space="preserve"> The College will continue to monitor Government </w:t>
            </w:r>
            <w:r w:rsidR="0E24867A" w:rsidRPr="00C33820">
              <w:rPr>
                <w:rFonts w:cs="Arial"/>
              </w:rPr>
              <w:t>a</w:t>
            </w:r>
            <w:r w:rsidR="4F8385BF" w:rsidRPr="00C33820">
              <w:rPr>
                <w:rFonts w:cs="Arial"/>
              </w:rPr>
              <w:t xml:space="preserve">dvice </w:t>
            </w:r>
            <w:r w:rsidR="5A326031" w:rsidRPr="00C33820">
              <w:rPr>
                <w:rFonts w:cs="Arial"/>
              </w:rPr>
              <w:t xml:space="preserve">and guidance </w:t>
            </w:r>
            <w:r w:rsidR="00FD02B8" w:rsidRPr="00C33820">
              <w:rPr>
                <w:rFonts w:cs="Arial"/>
              </w:rPr>
              <w:t>regarding</w:t>
            </w:r>
            <w:r w:rsidR="4F8385BF" w:rsidRPr="00C33820">
              <w:rPr>
                <w:rFonts w:cs="Arial"/>
              </w:rPr>
              <w:t xml:space="preserve"> the Coronavirus pandemic</w:t>
            </w:r>
            <w:r w:rsidR="35B89EB3" w:rsidRPr="00C33820">
              <w:rPr>
                <w:rFonts w:cs="Arial"/>
              </w:rPr>
              <w:t xml:space="preserve">, </w:t>
            </w:r>
            <w:r w:rsidR="4F8385BF" w:rsidRPr="00C33820">
              <w:rPr>
                <w:rFonts w:cs="Arial"/>
              </w:rPr>
              <w:t xml:space="preserve">including the implementation of social distancing measures to ensure any on campus </w:t>
            </w:r>
            <w:r w:rsidRPr="00C33820">
              <w:rPr>
                <w:rFonts w:cs="Arial"/>
              </w:rPr>
              <w:t>delivery minimises</w:t>
            </w:r>
            <w:r w:rsidR="3337A451" w:rsidRPr="00C33820">
              <w:rPr>
                <w:rFonts w:cs="Arial"/>
              </w:rPr>
              <w:t xml:space="preserve"> the risk to Students. Should the government </w:t>
            </w:r>
            <w:r w:rsidR="53D0E6D5" w:rsidRPr="00C33820">
              <w:rPr>
                <w:rFonts w:cs="Arial"/>
              </w:rPr>
              <w:t>instruct</w:t>
            </w:r>
            <w:r w:rsidR="3337A451" w:rsidRPr="00C33820">
              <w:rPr>
                <w:rFonts w:cs="Arial"/>
              </w:rPr>
              <w:t xml:space="preserve"> </w:t>
            </w:r>
            <w:r w:rsidRPr="00C33820">
              <w:rPr>
                <w:rFonts w:cs="Arial"/>
              </w:rPr>
              <w:t>any reduction</w:t>
            </w:r>
            <w:r w:rsidR="2E90A4AF" w:rsidRPr="00C33820">
              <w:rPr>
                <w:rFonts w:cs="Arial"/>
              </w:rPr>
              <w:t xml:space="preserve"> or </w:t>
            </w:r>
            <w:r w:rsidR="6597D6F3" w:rsidRPr="00C33820">
              <w:rPr>
                <w:rFonts w:cs="Arial"/>
              </w:rPr>
              <w:t xml:space="preserve">suspension of on campus face to face </w:t>
            </w:r>
            <w:r w:rsidR="00FD02B8" w:rsidRPr="00C33820">
              <w:rPr>
                <w:rFonts w:cs="Arial"/>
              </w:rPr>
              <w:t>delivery</w:t>
            </w:r>
            <w:r w:rsidR="6597D6F3" w:rsidRPr="00C33820">
              <w:rPr>
                <w:rFonts w:cs="Arial"/>
              </w:rPr>
              <w:t xml:space="preserve">, the </w:t>
            </w:r>
            <w:r w:rsidR="3337A451" w:rsidRPr="00C33820">
              <w:rPr>
                <w:rFonts w:cs="Arial"/>
              </w:rPr>
              <w:t xml:space="preserve">College will take all reasonable steps to </w:t>
            </w:r>
            <w:r w:rsidR="1110F23D" w:rsidRPr="00C33820">
              <w:rPr>
                <w:rFonts w:cs="Arial"/>
              </w:rPr>
              <w:t>protect</w:t>
            </w:r>
            <w:r w:rsidR="3337A451" w:rsidRPr="00C33820">
              <w:rPr>
                <w:rFonts w:cs="Arial"/>
              </w:rPr>
              <w:t xml:space="preserve"> the continuation of teaching, learning and assessment</w:t>
            </w:r>
            <w:r w:rsidR="09BB4B1E" w:rsidRPr="00C33820">
              <w:rPr>
                <w:rFonts w:cs="Arial"/>
              </w:rPr>
              <w:t xml:space="preserve"> for all HE students.</w:t>
            </w:r>
          </w:p>
          <w:p w14:paraId="1C6F1F66" w14:textId="509B7EFC" w:rsidR="09BB4B1E" w:rsidRPr="00C33820" w:rsidRDefault="09BB4B1E" w:rsidP="004D3EEC">
            <w:pPr>
              <w:spacing w:before="120" w:after="120"/>
              <w:ind w:left="224" w:right="175"/>
              <w:jc w:val="both"/>
              <w:rPr>
                <w:rFonts w:cs="Arial"/>
              </w:rPr>
            </w:pPr>
            <w:r w:rsidRPr="00C33820">
              <w:rPr>
                <w:rFonts w:cs="Arial"/>
                <w:szCs w:val="22"/>
              </w:rPr>
              <w:lastRenderedPageBreak/>
              <w:t xml:space="preserve">The College will work closely with </w:t>
            </w:r>
            <w:r w:rsidR="00C33820" w:rsidRPr="00C33820">
              <w:rPr>
                <w:rFonts w:cs="Arial"/>
                <w:szCs w:val="22"/>
              </w:rPr>
              <w:t>the independent</w:t>
            </w:r>
            <w:r w:rsidR="4E479E2F" w:rsidRPr="00C33820">
              <w:rPr>
                <w:rFonts w:cs="Arial"/>
                <w:szCs w:val="22"/>
              </w:rPr>
              <w:t xml:space="preserve"> regulator of higher education in England, the Office for Students (OfS), the UK’s Quality Assurance Agency for Higher Education (QAA) and awarding bodies (including franchise and validating partner universities and Pearson) to ensure that we are responsive to the guidance provided and put in place all possible mitigation to ensure that </w:t>
            </w:r>
            <w:r w:rsidR="00C33820" w:rsidRPr="00C33820">
              <w:rPr>
                <w:rFonts w:cs="Arial"/>
                <w:szCs w:val="22"/>
              </w:rPr>
              <w:t>Students are</w:t>
            </w:r>
            <w:r w:rsidR="4E479E2F" w:rsidRPr="00C33820">
              <w:rPr>
                <w:rFonts w:cs="Arial"/>
                <w:szCs w:val="22"/>
              </w:rPr>
              <w:t xml:space="preserve"> not disadvantaged </w:t>
            </w:r>
            <w:r w:rsidR="00C33820" w:rsidRPr="00C33820">
              <w:rPr>
                <w:rFonts w:cs="Arial"/>
                <w:szCs w:val="22"/>
              </w:rPr>
              <w:t>in achievement</w:t>
            </w:r>
            <w:r w:rsidR="4E479E2F" w:rsidRPr="00C33820">
              <w:rPr>
                <w:rFonts w:cs="Arial"/>
                <w:szCs w:val="22"/>
              </w:rPr>
              <w:t xml:space="preserve"> of higher education qualifications.  </w:t>
            </w:r>
          </w:p>
          <w:p w14:paraId="622F33B8" w14:textId="3E704FC4" w:rsidR="3A8E4683" w:rsidRPr="00C33820" w:rsidRDefault="3A8E4683" w:rsidP="004D3EEC">
            <w:pPr>
              <w:spacing w:before="120" w:after="120"/>
              <w:ind w:left="224" w:right="175"/>
              <w:jc w:val="both"/>
              <w:rPr>
                <w:rFonts w:cs="Arial"/>
                <w:szCs w:val="22"/>
              </w:rPr>
            </w:pPr>
            <w:r w:rsidRPr="00C33820">
              <w:rPr>
                <w:rFonts w:cs="Arial"/>
                <w:szCs w:val="22"/>
              </w:rPr>
              <w:t>Where</w:t>
            </w:r>
            <w:r w:rsidR="4E479E2F" w:rsidRPr="00C33820">
              <w:rPr>
                <w:rFonts w:cs="Arial"/>
                <w:szCs w:val="22"/>
              </w:rPr>
              <w:t xml:space="preserve"> all steps have been taken to protect continuation of study, in line with </w:t>
            </w:r>
            <w:r w:rsidR="4F9C9E63" w:rsidRPr="00C33820">
              <w:rPr>
                <w:rFonts w:cs="Arial"/>
                <w:szCs w:val="22"/>
              </w:rPr>
              <w:t xml:space="preserve">the College’s </w:t>
            </w:r>
            <w:r w:rsidR="4E479E2F" w:rsidRPr="00C33820">
              <w:rPr>
                <w:rFonts w:cs="Arial"/>
                <w:szCs w:val="22"/>
              </w:rPr>
              <w:t xml:space="preserve">tuition fee policy, no refunds or compensation will be provided as a result of COVID-19. </w:t>
            </w:r>
          </w:p>
          <w:p w14:paraId="3AD92106" w14:textId="0437089B" w:rsidR="002F498D" w:rsidRPr="00C33820" w:rsidRDefault="002F498D" w:rsidP="004D3EEC">
            <w:pPr>
              <w:spacing w:before="120" w:after="120"/>
              <w:ind w:left="224" w:right="175"/>
              <w:jc w:val="both"/>
              <w:rPr>
                <w:rFonts w:eastAsiaTheme="minorEastAsia" w:cs="Arial"/>
              </w:rPr>
            </w:pPr>
            <w:r w:rsidRPr="00C33820">
              <w:rPr>
                <w:rFonts w:eastAsiaTheme="minorEastAsia" w:cs="Arial"/>
              </w:rPr>
              <w:t xml:space="preserve">The </w:t>
            </w:r>
            <w:r w:rsidR="00D41DF6" w:rsidRPr="00C33820">
              <w:rPr>
                <w:rFonts w:eastAsiaTheme="minorEastAsia" w:cs="Arial"/>
              </w:rPr>
              <w:t xml:space="preserve">mitigating actions described above will be managed through the </w:t>
            </w:r>
            <w:r w:rsidR="00762CDB" w:rsidRPr="00C33820">
              <w:rPr>
                <w:rFonts w:eastAsiaTheme="minorEastAsia" w:cs="Arial"/>
              </w:rPr>
              <w:t>College</w:t>
            </w:r>
            <w:r w:rsidR="00D41DF6" w:rsidRPr="00C33820">
              <w:rPr>
                <w:rFonts w:eastAsiaTheme="minorEastAsia" w:cs="Arial"/>
              </w:rPr>
              <w:t>’s</w:t>
            </w:r>
            <w:r w:rsidRPr="00C33820">
              <w:rPr>
                <w:rFonts w:eastAsiaTheme="minorEastAsia" w:cs="Arial"/>
              </w:rPr>
              <w:t xml:space="preserve"> risk management arrangements which are designed to protect the </w:t>
            </w:r>
            <w:r w:rsidR="00762CDB" w:rsidRPr="00C33820">
              <w:rPr>
                <w:rFonts w:eastAsiaTheme="minorEastAsia" w:cs="Arial"/>
              </w:rPr>
              <w:t>College</w:t>
            </w:r>
            <w:r w:rsidRPr="00C33820">
              <w:rPr>
                <w:rFonts w:eastAsiaTheme="minorEastAsia" w:cs="Arial"/>
              </w:rPr>
              <w:t>'s assets and reputation. This process is managed on behalf of the Corporation by the Audit Committee who receive reports in respect of risk management at each meeting.</w:t>
            </w:r>
          </w:p>
          <w:p w14:paraId="1591F92A" w14:textId="36635C18" w:rsidR="00753099" w:rsidRPr="00C33820" w:rsidRDefault="00753099" w:rsidP="004D3EEC">
            <w:pPr>
              <w:pStyle w:val="ListParagraph"/>
              <w:numPr>
                <w:ilvl w:val="0"/>
                <w:numId w:val="32"/>
              </w:numPr>
              <w:spacing w:before="120" w:after="120" w:line="240" w:lineRule="auto"/>
              <w:ind w:left="507" w:right="175" w:hanging="283"/>
              <w:contextualSpacing w:val="0"/>
              <w:jc w:val="both"/>
              <w:rPr>
                <w:rFonts w:ascii="Arial" w:hAnsi="Arial" w:cs="Arial"/>
                <w:szCs w:val="22"/>
              </w:rPr>
            </w:pPr>
            <w:r w:rsidRPr="00C33820">
              <w:rPr>
                <w:rFonts w:ascii="Arial" w:eastAsiaTheme="minorEastAsia" w:hAnsi="Arial" w:cs="Arial"/>
              </w:rPr>
              <w:t xml:space="preserve">The </w:t>
            </w:r>
            <w:r w:rsidR="00762CDB" w:rsidRPr="00C33820">
              <w:rPr>
                <w:rFonts w:ascii="Arial" w:eastAsiaTheme="minorEastAsia" w:hAnsi="Arial" w:cs="Arial"/>
              </w:rPr>
              <w:t>College</w:t>
            </w:r>
            <w:r w:rsidRPr="00C33820">
              <w:rPr>
                <w:rFonts w:ascii="Arial" w:eastAsiaTheme="minorEastAsia" w:hAnsi="Arial" w:cs="Arial"/>
              </w:rPr>
              <w:t>'s Risk Management Policy recognises that risk management is an essential element of any large business’ corporate management and governance arrangements and sets out</w:t>
            </w:r>
            <w:r w:rsidR="00D41DF6" w:rsidRPr="00C33820">
              <w:rPr>
                <w:rFonts w:ascii="Arial" w:eastAsiaTheme="minorEastAsia" w:hAnsi="Arial" w:cs="Arial"/>
              </w:rPr>
              <w:t xml:space="preserve"> the following responsibilities:</w:t>
            </w:r>
          </w:p>
          <w:p w14:paraId="3E5D0329" w14:textId="143EC264"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 xml:space="preserve">The Corporation of the </w:t>
            </w:r>
            <w:r w:rsidR="00762CDB" w:rsidRPr="00C33820">
              <w:rPr>
                <w:rFonts w:ascii="Arial" w:eastAsiaTheme="minorEastAsia" w:hAnsi="Arial" w:cs="Arial"/>
              </w:rPr>
              <w:t>College</w:t>
            </w:r>
            <w:r w:rsidRPr="00C33820">
              <w:rPr>
                <w:rFonts w:ascii="Arial" w:eastAsiaTheme="minorEastAsia" w:hAnsi="Arial" w:cs="Arial"/>
              </w:rPr>
              <w:t xml:space="preserve"> has responsibility for the oversight of all activity in each organisation but has identified that its Audit Committee should have specific oversight over the risk management arrangements.</w:t>
            </w:r>
          </w:p>
          <w:p w14:paraId="1F0AC11D" w14:textId="77777777"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The Senior Management team (SMT) has responsibility for ensuring that management of risk is properly addressed in all areas within their operational control.</w:t>
            </w:r>
          </w:p>
          <w:p w14:paraId="48F4D2BE" w14:textId="40739C31"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 xml:space="preserve">The Group </w:t>
            </w:r>
            <w:r w:rsidR="003F4E78">
              <w:rPr>
                <w:rFonts w:ascii="Arial" w:eastAsiaTheme="minorEastAsia" w:hAnsi="Arial" w:cs="Arial"/>
              </w:rPr>
              <w:t>Chief Operating Officer</w:t>
            </w:r>
            <w:r w:rsidRPr="00C33820">
              <w:rPr>
                <w:rFonts w:ascii="Arial" w:eastAsiaTheme="minorEastAsia" w:hAnsi="Arial" w:cs="Arial"/>
              </w:rPr>
              <w:t xml:space="preserve"> has the overall responsibility for ensuring that all organisations have a robust and effective risk management framework.</w:t>
            </w:r>
          </w:p>
          <w:p w14:paraId="4FDC24C0" w14:textId="77777777"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For practical purposes, each identified Risk Owner shall update their portion of the relevant risk report in time for their contents to be reviewed prior to relevant Corporation / Board or Audit Committee meeting.  A separate schedule of times shall be issued, ideally monthly.</w:t>
            </w:r>
          </w:p>
          <w:p w14:paraId="3EFD65DF" w14:textId="0A722177"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 xml:space="preserve">There will be a </w:t>
            </w:r>
            <w:r w:rsidR="00762CDB" w:rsidRPr="00C33820">
              <w:rPr>
                <w:rFonts w:ascii="Arial" w:eastAsiaTheme="minorEastAsia" w:hAnsi="Arial" w:cs="Arial"/>
              </w:rPr>
              <w:t>College</w:t>
            </w:r>
            <w:r w:rsidRPr="00C33820">
              <w:rPr>
                <w:rFonts w:ascii="Arial" w:eastAsiaTheme="minorEastAsia" w:hAnsi="Arial" w:cs="Arial"/>
              </w:rPr>
              <w:t xml:space="preserve"> level risk report owned and reviewed by the Executive, a Curriculum Risk Report owned and reviewed by the Deputy Principal and his / her Senior Management Team, a Support Risk Report owned and reviewed by the Chief Operating Officer and his / her senior management team and a Governor risk report owned and reviewed by the Corporation/Board and its Committees.  </w:t>
            </w:r>
          </w:p>
          <w:p w14:paraId="3AA5545F" w14:textId="77777777" w:rsidR="00753099" w:rsidRPr="00C33820" w:rsidRDefault="00753099" w:rsidP="004D3EEC">
            <w:pPr>
              <w:pStyle w:val="ListParagraph"/>
              <w:numPr>
                <w:ilvl w:val="0"/>
                <w:numId w:val="36"/>
              </w:numPr>
              <w:spacing w:before="120" w:after="120" w:line="240" w:lineRule="auto"/>
              <w:ind w:left="933" w:right="175"/>
              <w:contextualSpacing w:val="0"/>
              <w:jc w:val="both"/>
              <w:rPr>
                <w:rFonts w:ascii="Arial" w:hAnsi="Arial" w:cs="Arial"/>
              </w:rPr>
            </w:pPr>
            <w:r w:rsidRPr="00C33820">
              <w:rPr>
                <w:rFonts w:ascii="Arial" w:eastAsiaTheme="minorEastAsia" w:hAnsi="Arial" w:cs="Arial"/>
              </w:rPr>
              <w:t xml:space="preserve">Internal audit will monitor the risk management arrangements to ensure that they are adequate and effective in practice.  </w:t>
            </w:r>
          </w:p>
          <w:p w14:paraId="6254FB8D" w14:textId="1714A265" w:rsidR="007B4AD4" w:rsidRPr="00C33820" w:rsidRDefault="00753099" w:rsidP="004D3EEC">
            <w:pPr>
              <w:pStyle w:val="ListParagraph"/>
              <w:numPr>
                <w:ilvl w:val="0"/>
                <w:numId w:val="0"/>
              </w:numPr>
              <w:spacing w:before="120" w:after="120" w:line="240" w:lineRule="auto"/>
              <w:ind w:left="224" w:right="175"/>
              <w:contextualSpacing w:val="0"/>
              <w:jc w:val="both"/>
              <w:rPr>
                <w:rFonts w:ascii="Arial" w:eastAsiaTheme="minorEastAsia" w:hAnsi="Arial" w:cs="Arial"/>
              </w:rPr>
            </w:pPr>
            <w:r w:rsidRPr="00C33820">
              <w:rPr>
                <w:rFonts w:ascii="Arial" w:eastAsiaTheme="minorEastAsia" w:hAnsi="Arial" w:cs="Arial"/>
              </w:rPr>
              <w:t xml:space="preserve">The </w:t>
            </w:r>
            <w:r w:rsidR="00762CDB" w:rsidRPr="00C33820">
              <w:rPr>
                <w:rFonts w:ascii="Arial" w:eastAsiaTheme="minorEastAsia" w:hAnsi="Arial" w:cs="Arial"/>
              </w:rPr>
              <w:t>College</w:t>
            </w:r>
            <w:r w:rsidRPr="00C33820">
              <w:rPr>
                <w:rFonts w:ascii="Arial" w:eastAsiaTheme="minorEastAsia" w:hAnsi="Arial" w:cs="Arial"/>
              </w:rPr>
              <w:t xml:space="preserve"> has appointed a Director for </w:t>
            </w:r>
            <w:r w:rsidR="00C525CB" w:rsidRPr="00C33820">
              <w:rPr>
                <w:rFonts w:ascii="Arial" w:eastAsiaTheme="minorEastAsia" w:hAnsi="Arial" w:cs="Arial"/>
              </w:rPr>
              <w:t>HE</w:t>
            </w:r>
            <w:r w:rsidRPr="00C33820">
              <w:rPr>
                <w:rFonts w:ascii="Arial" w:eastAsiaTheme="minorEastAsia" w:hAnsi="Arial" w:cs="Arial"/>
              </w:rPr>
              <w:t xml:space="preserve"> and a dedicated HE Quality Manager who, reporting to the Vice Principal of Quality, is responsible for the implementation and monitoring of progress against our action plan. </w:t>
            </w:r>
          </w:p>
        </w:tc>
      </w:tr>
      <w:tr w:rsidR="00FD02B8" w:rsidRPr="00FD02B8" w14:paraId="0F7B48C0" w14:textId="77777777" w:rsidTr="00FD02B8">
        <w:tc>
          <w:tcPr>
            <w:tcW w:w="10431" w:type="dxa"/>
            <w:tcBorders>
              <w:bottom w:val="nil"/>
            </w:tcBorders>
          </w:tcPr>
          <w:p w14:paraId="38C59894" w14:textId="24EFE1A9" w:rsidR="003050C6" w:rsidRPr="00FD02B8" w:rsidRDefault="0D2E17DB" w:rsidP="00C33820">
            <w:pPr>
              <w:spacing w:before="120" w:after="120"/>
              <w:ind w:left="224" w:right="-50" w:hanging="224"/>
              <w:rPr>
                <w:rFonts w:cs="Arial"/>
                <w:b/>
                <w:bCs/>
              </w:rPr>
            </w:pPr>
            <w:r w:rsidRPr="00FD02B8">
              <w:rPr>
                <w:rFonts w:cs="Arial"/>
                <w:b/>
                <w:bCs/>
              </w:rPr>
              <w:lastRenderedPageBreak/>
              <w:t>3. Information about the policy you have in place to refund tuition fees and other relevant costs to your students and to provide compensation where necessary in the event that you are no longer able to preserve continuation of study</w:t>
            </w:r>
          </w:p>
        </w:tc>
      </w:tr>
      <w:tr w:rsidR="00FD02B8" w:rsidRPr="00FD02B8" w14:paraId="74B8DD5B" w14:textId="77777777" w:rsidTr="00FD02B8">
        <w:trPr>
          <w:cantSplit w:val="0"/>
        </w:trPr>
        <w:tc>
          <w:tcPr>
            <w:tcW w:w="10431" w:type="dxa"/>
            <w:tcBorders>
              <w:top w:val="nil"/>
              <w:bottom w:val="single" w:sz="4" w:space="0" w:color="auto"/>
            </w:tcBorders>
          </w:tcPr>
          <w:p w14:paraId="6B3C0944" w14:textId="341ECDF2" w:rsidR="00877108" w:rsidRPr="00C33820" w:rsidRDefault="0D2E17DB" w:rsidP="004D3EEC">
            <w:pPr>
              <w:spacing w:before="120" w:after="120"/>
              <w:ind w:left="224" w:right="175"/>
              <w:jc w:val="both"/>
              <w:rPr>
                <w:rFonts w:eastAsiaTheme="minorEastAsia" w:cs="Arial"/>
                <w:b/>
                <w:bCs/>
              </w:rPr>
            </w:pPr>
            <w:r w:rsidRPr="00C33820">
              <w:rPr>
                <w:rFonts w:eastAsiaTheme="minorEastAsia" w:cs="Arial"/>
              </w:rPr>
              <w:t xml:space="preserve">As per our Tuition Price Policy </w:t>
            </w:r>
            <w:r w:rsidR="1FF6C58B" w:rsidRPr="00C33820">
              <w:rPr>
                <w:rFonts w:eastAsiaTheme="minorEastAsia" w:cs="Arial"/>
              </w:rPr>
              <w:t>20</w:t>
            </w:r>
            <w:r w:rsidR="4CD5A9E9" w:rsidRPr="00C33820">
              <w:rPr>
                <w:rFonts w:eastAsiaTheme="minorEastAsia" w:cs="Arial"/>
              </w:rPr>
              <w:t>20-</w:t>
            </w:r>
            <w:r w:rsidR="1FF6C58B" w:rsidRPr="00C33820">
              <w:rPr>
                <w:rFonts w:eastAsiaTheme="minorEastAsia" w:cs="Arial"/>
              </w:rPr>
              <w:t>/2</w:t>
            </w:r>
            <w:r w:rsidR="0551EB1B" w:rsidRPr="00C33820">
              <w:rPr>
                <w:rFonts w:eastAsiaTheme="minorEastAsia" w:cs="Arial"/>
              </w:rPr>
              <w:t>1</w:t>
            </w:r>
            <w:r w:rsidR="1FF6C58B" w:rsidRPr="00C33820">
              <w:rPr>
                <w:rFonts w:eastAsiaTheme="minorEastAsia" w:cs="Arial"/>
              </w:rPr>
              <w:t xml:space="preserve"> - 202</w:t>
            </w:r>
            <w:r w:rsidR="16609BA1" w:rsidRPr="00C33820">
              <w:rPr>
                <w:rFonts w:eastAsiaTheme="minorEastAsia" w:cs="Arial"/>
              </w:rPr>
              <w:t>1</w:t>
            </w:r>
            <w:r w:rsidR="1FF6C58B" w:rsidRPr="00C33820">
              <w:rPr>
                <w:rFonts w:eastAsiaTheme="minorEastAsia" w:cs="Arial"/>
              </w:rPr>
              <w:t>/2</w:t>
            </w:r>
            <w:r w:rsidR="64B1BC47" w:rsidRPr="00C33820">
              <w:rPr>
                <w:rFonts w:eastAsiaTheme="minorEastAsia" w:cs="Arial"/>
              </w:rPr>
              <w:t>2</w:t>
            </w:r>
            <w:r w:rsidR="00C525CB" w:rsidRPr="00C33820">
              <w:rPr>
                <w:rFonts w:eastAsiaTheme="minorEastAsia" w:cs="Arial"/>
              </w:rPr>
              <w:t xml:space="preserve">, the </w:t>
            </w:r>
            <w:r w:rsidR="00762CDB" w:rsidRPr="00C33820">
              <w:rPr>
                <w:rFonts w:eastAsiaTheme="minorEastAsia" w:cs="Arial"/>
              </w:rPr>
              <w:t>College</w:t>
            </w:r>
            <w:r w:rsidRPr="00C33820">
              <w:rPr>
                <w:rFonts w:eastAsiaTheme="minorEastAsia" w:cs="Arial"/>
              </w:rPr>
              <w:t xml:space="preserve"> sets out the following Refund and Waiver to Fee Policies</w:t>
            </w:r>
            <w:r w:rsidRPr="00C33820">
              <w:rPr>
                <w:rFonts w:eastAsiaTheme="minorEastAsia" w:cs="Arial"/>
                <w:b/>
                <w:bCs/>
              </w:rPr>
              <w:t>:</w:t>
            </w:r>
          </w:p>
          <w:p w14:paraId="5755792E" w14:textId="173993CB" w:rsidR="00877108" w:rsidRPr="00C33820" w:rsidRDefault="0D2E17DB" w:rsidP="004D3EEC">
            <w:pPr>
              <w:spacing w:before="120" w:after="120"/>
              <w:ind w:left="224" w:right="175"/>
              <w:jc w:val="both"/>
              <w:rPr>
                <w:rFonts w:eastAsiaTheme="minorEastAsia" w:cs="Arial"/>
                <w:b/>
                <w:bCs/>
              </w:rPr>
            </w:pPr>
            <w:r w:rsidRPr="00C33820">
              <w:rPr>
                <w:rFonts w:eastAsiaTheme="minorEastAsia" w:cs="Arial"/>
                <w:b/>
                <w:bCs/>
              </w:rPr>
              <w:t xml:space="preserve">Refund Policy - </w:t>
            </w:r>
            <w:r w:rsidRPr="00C33820">
              <w:rPr>
                <w:rFonts w:eastAsiaTheme="minorEastAsia" w:cs="Arial"/>
              </w:rPr>
              <w:t xml:space="preserve">Full refunds will only be made if the </w:t>
            </w:r>
            <w:r w:rsidR="00762CDB" w:rsidRPr="00C33820">
              <w:rPr>
                <w:rFonts w:eastAsiaTheme="minorEastAsia" w:cs="Arial"/>
              </w:rPr>
              <w:t>College</w:t>
            </w:r>
            <w:r w:rsidRPr="00C33820">
              <w:rPr>
                <w:rFonts w:eastAsiaTheme="minorEastAsia" w:cs="Arial"/>
              </w:rPr>
              <w:t xml:space="preserve"> cancels the course, it is over-subscribed or the learner withdraws within two weeks of the course starting.  This enables the learner to ensure they are happy with the course and also for the </w:t>
            </w:r>
            <w:r w:rsidR="00762CDB" w:rsidRPr="00C33820">
              <w:rPr>
                <w:rFonts w:eastAsiaTheme="minorEastAsia" w:cs="Arial"/>
              </w:rPr>
              <w:t>College</w:t>
            </w:r>
            <w:r w:rsidRPr="00C33820">
              <w:rPr>
                <w:rFonts w:eastAsiaTheme="minorEastAsia" w:cs="Arial"/>
              </w:rPr>
              <w:t xml:space="preserve"> to cancel the course if it becomes unviable.  After this two week period the full fee is payable.   In these circumstances the </w:t>
            </w:r>
            <w:r w:rsidR="00762CDB" w:rsidRPr="00C33820">
              <w:rPr>
                <w:rFonts w:eastAsiaTheme="minorEastAsia" w:cs="Arial"/>
              </w:rPr>
              <w:t>College</w:t>
            </w:r>
            <w:r w:rsidRPr="00C33820">
              <w:rPr>
                <w:rFonts w:eastAsiaTheme="minorEastAsia" w:cs="Arial"/>
              </w:rPr>
              <w:t xml:space="preserve"> will make a full refund and no administration fee will be charged.  Where learners wish to apply for a refund due to exceptional circumstances they must write to the Executive </w:t>
            </w:r>
            <w:r w:rsidR="003F4E78">
              <w:rPr>
                <w:rFonts w:eastAsiaTheme="minorEastAsia" w:cs="Arial"/>
              </w:rPr>
              <w:t xml:space="preserve">Chief Operating Officer. </w:t>
            </w:r>
            <w:r w:rsidRPr="00C33820">
              <w:rPr>
                <w:rFonts w:eastAsiaTheme="minorEastAsia" w:cs="Arial"/>
              </w:rPr>
              <w:t xml:space="preserve">Any claims accepted will be subject to an administration fee of £10. If the student has attended more than 6 weeks, then the </w:t>
            </w:r>
            <w:r w:rsidR="00762CDB" w:rsidRPr="00C33820">
              <w:rPr>
                <w:rFonts w:eastAsiaTheme="minorEastAsia" w:cs="Arial"/>
              </w:rPr>
              <w:t>College</w:t>
            </w:r>
            <w:r w:rsidRPr="00C33820">
              <w:rPr>
                <w:rFonts w:eastAsiaTheme="minorEastAsia" w:cs="Arial"/>
              </w:rPr>
              <w:t xml:space="preserve"> will retain a proportion of any fees in respect of one term.  There will be no refund after the end of term one in respect of exceptional circumstances.      </w:t>
            </w:r>
          </w:p>
          <w:p w14:paraId="1F573F83" w14:textId="5269E2D3" w:rsidR="79182874" w:rsidRPr="00C33820" w:rsidRDefault="0D2E17DB" w:rsidP="004D3EEC">
            <w:pPr>
              <w:spacing w:before="120" w:after="120"/>
              <w:ind w:left="224" w:right="175"/>
              <w:jc w:val="both"/>
              <w:rPr>
                <w:rFonts w:eastAsiaTheme="minorEastAsia" w:cs="Arial"/>
                <w:szCs w:val="22"/>
              </w:rPr>
            </w:pPr>
            <w:r w:rsidRPr="00C33820">
              <w:rPr>
                <w:rFonts w:eastAsiaTheme="minorEastAsia" w:cs="Arial"/>
                <w:b/>
                <w:bCs/>
                <w:szCs w:val="22"/>
              </w:rPr>
              <w:t xml:space="preserve">Waiver to Fee Policy - </w:t>
            </w:r>
            <w:r w:rsidRPr="00C33820">
              <w:rPr>
                <w:rFonts w:eastAsiaTheme="minorEastAsia" w:cs="Arial"/>
                <w:szCs w:val="22"/>
              </w:rPr>
              <w:t xml:space="preserve">Fees may be waived or reduced on an individual basis by </w:t>
            </w:r>
            <w:r w:rsidR="00D41DF6" w:rsidRPr="00C33820">
              <w:rPr>
                <w:rFonts w:eastAsiaTheme="minorEastAsia" w:cs="Arial"/>
                <w:szCs w:val="22"/>
              </w:rPr>
              <w:t xml:space="preserve">the </w:t>
            </w:r>
            <w:r w:rsidRPr="00C33820">
              <w:rPr>
                <w:rFonts w:eastAsiaTheme="minorEastAsia" w:cs="Arial"/>
                <w:szCs w:val="22"/>
              </w:rPr>
              <w:t xml:space="preserve">Executive </w:t>
            </w:r>
            <w:r w:rsidR="003F4E78">
              <w:rPr>
                <w:rFonts w:eastAsiaTheme="minorEastAsia" w:cs="Arial"/>
                <w:szCs w:val="22"/>
              </w:rPr>
              <w:t>Chief Operating Officer</w:t>
            </w:r>
            <w:r w:rsidRPr="00C33820">
              <w:rPr>
                <w:rFonts w:eastAsiaTheme="minorEastAsia" w:cs="Arial"/>
                <w:szCs w:val="22"/>
              </w:rPr>
              <w:t xml:space="preserve"> where they are content that there is a valid commercial reason behind the decision.</w:t>
            </w:r>
          </w:p>
          <w:p w14:paraId="684E392E" w14:textId="40635DD6" w:rsidR="678A86C8" w:rsidRPr="00C33820" w:rsidRDefault="74BF47C2" w:rsidP="004D3EEC">
            <w:pPr>
              <w:spacing w:before="120" w:after="120"/>
              <w:ind w:left="224" w:right="175"/>
              <w:jc w:val="both"/>
              <w:rPr>
                <w:rFonts w:eastAsiaTheme="minorEastAsia" w:cs="Arial"/>
              </w:rPr>
            </w:pPr>
            <w:r w:rsidRPr="00C33820">
              <w:rPr>
                <w:rFonts w:eastAsiaTheme="minorEastAsia" w:cs="Arial"/>
              </w:rPr>
              <w:t>The NWSLC</w:t>
            </w:r>
            <w:r w:rsidR="0D2E17DB" w:rsidRPr="00C33820">
              <w:rPr>
                <w:rFonts w:eastAsiaTheme="minorEastAsia" w:cs="Arial"/>
              </w:rPr>
              <w:t xml:space="preserve"> </w:t>
            </w:r>
            <w:r w:rsidR="7D525525" w:rsidRPr="00C33820">
              <w:rPr>
                <w:rFonts w:eastAsiaTheme="minorEastAsia" w:cs="Arial"/>
              </w:rPr>
              <w:t xml:space="preserve">HE </w:t>
            </w:r>
            <w:r w:rsidR="0D2E17DB" w:rsidRPr="00C33820">
              <w:rPr>
                <w:rFonts w:eastAsiaTheme="minorEastAsia" w:cs="Arial"/>
              </w:rPr>
              <w:t>Refund and Compensation Policy outline</w:t>
            </w:r>
            <w:r w:rsidR="5634A89C" w:rsidRPr="00C33820">
              <w:rPr>
                <w:rFonts w:eastAsiaTheme="minorEastAsia" w:cs="Arial"/>
              </w:rPr>
              <w:t>s</w:t>
            </w:r>
            <w:r w:rsidR="0D2E17DB" w:rsidRPr="00C33820">
              <w:rPr>
                <w:rFonts w:eastAsiaTheme="minorEastAsia" w:cs="Arial"/>
              </w:rPr>
              <w:t xml:space="preserve"> the circumstances in which </w:t>
            </w:r>
            <w:r w:rsidR="7BD54917" w:rsidRPr="00C33820">
              <w:rPr>
                <w:rFonts w:eastAsiaTheme="minorEastAsia" w:cs="Arial"/>
              </w:rPr>
              <w:t>the College will</w:t>
            </w:r>
            <w:r w:rsidR="0D2E17DB" w:rsidRPr="00C33820">
              <w:rPr>
                <w:rFonts w:eastAsiaTheme="minorEastAsia" w:cs="Arial"/>
              </w:rPr>
              <w:t xml:space="preserve"> refund tuition fees and provide compensation to students in the unlikely event that we are no longer able to protect continuation of study as a result of the risks outlined in this Student Protection Plan. The policy outline</w:t>
            </w:r>
            <w:r w:rsidR="6EFE6655" w:rsidRPr="00C33820">
              <w:rPr>
                <w:rFonts w:eastAsiaTheme="minorEastAsia" w:cs="Arial"/>
              </w:rPr>
              <w:t>s</w:t>
            </w:r>
            <w:r w:rsidR="0D2E17DB" w:rsidRPr="00C33820">
              <w:rPr>
                <w:rFonts w:eastAsiaTheme="minorEastAsia" w:cs="Arial"/>
              </w:rPr>
              <w:t xml:space="preserve"> the provision for refunds and compensation for the impact that any risks </w:t>
            </w:r>
            <w:r w:rsidR="1A0715E2" w:rsidRPr="00C33820">
              <w:rPr>
                <w:rFonts w:eastAsiaTheme="minorEastAsia" w:cs="Arial"/>
              </w:rPr>
              <w:t xml:space="preserve">detailed within </w:t>
            </w:r>
            <w:r w:rsidR="00FD02B8" w:rsidRPr="00C33820">
              <w:rPr>
                <w:rFonts w:eastAsiaTheme="minorEastAsia" w:cs="Arial"/>
              </w:rPr>
              <w:t>this plan</w:t>
            </w:r>
            <w:r w:rsidR="0D2E17DB" w:rsidRPr="00C33820">
              <w:rPr>
                <w:rFonts w:eastAsiaTheme="minorEastAsia" w:cs="Arial"/>
              </w:rPr>
              <w:t xml:space="preserve"> has on affected students' tuition fees, bursaries, travel costs, maintenance costs and loss of time.  </w:t>
            </w:r>
          </w:p>
          <w:p w14:paraId="2661103E" w14:textId="1EBC4E3E" w:rsidR="00AB1AFC" w:rsidRPr="00C33820" w:rsidRDefault="690DAFD5" w:rsidP="004D3EEC">
            <w:pPr>
              <w:spacing w:before="120" w:after="120"/>
              <w:ind w:left="224" w:right="175"/>
              <w:jc w:val="both"/>
              <w:rPr>
                <w:rFonts w:cs="Arial"/>
              </w:rPr>
            </w:pPr>
            <w:r w:rsidRPr="00C33820">
              <w:rPr>
                <w:rFonts w:cs="Arial"/>
                <w:szCs w:val="22"/>
              </w:rPr>
              <w:t>The College's Annual Report and Financial Statement (2019) references our Reserves Policy which recognises the importance of reserves in the financial stability of the organisation. The College ensures that there are adequate reserves to support the College's core activities including sufficient reserves to provide refunds and compensation for those students who are affected as a direct result of the risks identified within this plan.</w:t>
            </w:r>
            <w:r w:rsidRPr="00C33820">
              <w:rPr>
                <w:rFonts w:eastAsia="Arial" w:cs="Arial"/>
                <w:szCs w:val="22"/>
              </w:rPr>
              <w:t xml:space="preserve">  </w:t>
            </w:r>
          </w:p>
        </w:tc>
      </w:tr>
      <w:tr w:rsidR="00FD02B8" w:rsidRPr="00FD02B8" w14:paraId="6B671688" w14:textId="77777777" w:rsidTr="004D3EEC">
        <w:tc>
          <w:tcPr>
            <w:tcW w:w="10431" w:type="dxa"/>
            <w:tcBorders>
              <w:bottom w:val="nil"/>
            </w:tcBorders>
          </w:tcPr>
          <w:p w14:paraId="7310ED28" w14:textId="1442F0BE" w:rsidR="003050C6" w:rsidRPr="00FD02B8" w:rsidRDefault="0D2E17DB" w:rsidP="00C33820">
            <w:pPr>
              <w:spacing w:before="120" w:after="120"/>
              <w:ind w:left="224" w:right="288" w:hanging="224"/>
              <w:rPr>
                <w:rFonts w:cs="Arial"/>
                <w:b/>
                <w:bCs/>
              </w:rPr>
            </w:pPr>
            <w:r w:rsidRPr="00FD02B8">
              <w:rPr>
                <w:rFonts w:cs="Arial"/>
                <w:b/>
                <w:bCs/>
              </w:rPr>
              <w:t>4. Information about how you will communicate with students about your student protection plan</w:t>
            </w:r>
          </w:p>
        </w:tc>
      </w:tr>
      <w:tr w:rsidR="00FD02B8" w:rsidRPr="00464090" w14:paraId="70EB07A3" w14:textId="77777777" w:rsidTr="004D3EEC">
        <w:trPr>
          <w:cantSplit w:val="0"/>
        </w:trPr>
        <w:tc>
          <w:tcPr>
            <w:tcW w:w="10431" w:type="dxa"/>
            <w:tcBorders>
              <w:top w:val="nil"/>
              <w:bottom w:val="single" w:sz="4" w:space="0" w:color="auto"/>
            </w:tcBorders>
          </w:tcPr>
          <w:p w14:paraId="6CAF35AE" w14:textId="100BE5AA" w:rsidR="003050C6" w:rsidRPr="00C33820" w:rsidRDefault="0D2E17DB" w:rsidP="004D3EEC">
            <w:pPr>
              <w:spacing w:before="120" w:after="120"/>
              <w:ind w:left="224" w:right="175"/>
              <w:jc w:val="both"/>
              <w:rPr>
                <w:rFonts w:eastAsiaTheme="minorEastAsia" w:cs="Arial"/>
              </w:rPr>
            </w:pPr>
            <w:r w:rsidRPr="00C33820">
              <w:rPr>
                <w:rFonts w:eastAsiaTheme="minorEastAsia" w:cs="Arial"/>
              </w:rPr>
              <w:t xml:space="preserve">We will publish our Student Protection Plan to current and future students on our website </w:t>
            </w:r>
            <w:r w:rsidR="2D0B1569" w:rsidRPr="00C33820">
              <w:rPr>
                <w:rFonts w:eastAsiaTheme="minorEastAsia" w:cs="Arial"/>
              </w:rPr>
              <w:t>and</w:t>
            </w:r>
            <w:r w:rsidRPr="00C33820">
              <w:rPr>
                <w:rFonts w:eastAsiaTheme="minorEastAsia" w:cs="Arial"/>
              </w:rPr>
              <w:t xml:space="preserve"> will reference the plan within HE student handbooks, student induction and board of study meetings.</w:t>
            </w:r>
          </w:p>
          <w:p w14:paraId="0FC025DF" w14:textId="4DCD458E" w:rsidR="003050C6" w:rsidRPr="00C33820" w:rsidRDefault="0D2E17DB" w:rsidP="004D3EEC">
            <w:pPr>
              <w:spacing w:before="120" w:after="120"/>
              <w:ind w:left="224" w:right="175"/>
              <w:jc w:val="both"/>
              <w:rPr>
                <w:rFonts w:eastAsiaTheme="minorEastAsia" w:cs="Arial"/>
              </w:rPr>
            </w:pPr>
            <w:r w:rsidRPr="00C33820">
              <w:rPr>
                <w:rFonts w:eastAsiaTheme="minorEastAsia" w:cs="Arial"/>
              </w:rPr>
              <w:lastRenderedPageBreak/>
              <w:t xml:space="preserve">The </w:t>
            </w:r>
            <w:r w:rsidR="00762CDB" w:rsidRPr="00C33820">
              <w:rPr>
                <w:rFonts w:eastAsiaTheme="minorEastAsia" w:cs="Arial"/>
              </w:rPr>
              <w:t>College</w:t>
            </w:r>
            <w:r w:rsidRPr="00C33820">
              <w:rPr>
                <w:rFonts w:eastAsiaTheme="minorEastAsia" w:cs="Arial"/>
              </w:rPr>
              <w:t xml:space="preserve"> will ensure that all staff are aware of the content and implications of the</w:t>
            </w:r>
          </w:p>
          <w:p w14:paraId="5CD90D48" w14:textId="26261E85" w:rsidR="003050C6" w:rsidRPr="00C33820" w:rsidRDefault="0D2E17DB" w:rsidP="004D3EEC">
            <w:pPr>
              <w:spacing w:before="120" w:after="120"/>
              <w:ind w:left="224" w:right="175"/>
              <w:jc w:val="both"/>
              <w:rPr>
                <w:rFonts w:eastAsiaTheme="minorEastAsia" w:cs="Arial"/>
                <w:color w:val="19896D" w:themeColor="accent3" w:themeShade="BF"/>
              </w:rPr>
            </w:pPr>
            <w:r w:rsidRPr="00C33820">
              <w:rPr>
                <w:rFonts w:eastAsiaTheme="minorEastAsia" w:cs="Arial"/>
              </w:rPr>
              <w:t xml:space="preserve">Student Protection Plan through termly Academic Board Meetings and through HE Staff Forums. The Plan will also be made available to all staff through our </w:t>
            </w:r>
            <w:r w:rsidR="00762CDB" w:rsidRPr="00C33820">
              <w:rPr>
                <w:rFonts w:eastAsiaTheme="minorEastAsia" w:cs="Arial"/>
              </w:rPr>
              <w:t>College</w:t>
            </w:r>
            <w:r w:rsidRPr="00C33820">
              <w:rPr>
                <w:rFonts w:eastAsiaTheme="minorEastAsia" w:cs="Arial"/>
              </w:rPr>
              <w:t xml:space="preserve"> Documents portal on our Extranet.</w:t>
            </w:r>
          </w:p>
          <w:p w14:paraId="5910A13D" w14:textId="2D9E955A" w:rsidR="003050C6" w:rsidRPr="00C33820" w:rsidRDefault="0D2E17DB" w:rsidP="004D3EEC">
            <w:pPr>
              <w:spacing w:before="120" w:after="120"/>
              <w:ind w:left="224" w:right="175"/>
              <w:jc w:val="both"/>
              <w:rPr>
                <w:rFonts w:eastAsiaTheme="minorEastAsia" w:cs="Arial"/>
                <w:color w:val="19896D" w:themeColor="accent3" w:themeShade="BF"/>
              </w:rPr>
            </w:pPr>
            <w:r w:rsidRPr="00C33820">
              <w:rPr>
                <w:rFonts w:eastAsiaTheme="minorEastAsia" w:cs="Arial"/>
              </w:rPr>
              <w:t xml:space="preserve">The </w:t>
            </w:r>
            <w:r w:rsidR="00762CDB" w:rsidRPr="00C33820">
              <w:rPr>
                <w:rFonts w:eastAsiaTheme="minorEastAsia" w:cs="Arial"/>
              </w:rPr>
              <w:t>College</w:t>
            </w:r>
            <w:r w:rsidRPr="00C33820">
              <w:rPr>
                <w:rFonts w:eastAsiaTheme="minorEastAsia" w:cs="Arial"/>
              </w:rPr>
              <w:t xml:space="preserve"> will review and republish the Student Protection Plan on an annual basis to ensure that it continues to be relevant and reflect the </w:t>
            </w:r>
            <w:r w:rsidR="00762CDB" w:rsidRPr="00C33820">
              <w:rPr>
                <w:rFonts w:eastAsiaTheme="minorEastAsia" w:cs="Arial"/>
              </w:rPr>
              <w:t>College</w:t>
            </w:r>
            <w:r w:rsidRPr="00C33820">
              <w:rPr>
                <w:rFonts w:eastAsiaTheme="minorEastAsia" w:cs="Arial"/>
              </w:rPr>
              <w:t xml:space="preserve">'s risk register. </w:t>
            </w:r>
            <w:r w:rsidRPr="00C33820">
              <w:rPr>
                <w:rFonts w:eastAsiaTheme="minorEastAsia" w:cs="Arial"/>
                <w:color w:val="19896D" w:themeColor="accent3" w:themeShade="BF"/>
              </w:rPr>
              <w:t xml:space="preserve"> </w:t>
            </w:r>
          </w:p>
          <w:p w14:paraId="590EDC92" w14:textId="2FB296FF" w:rsidR="003050C6" w:rsidRPr="00C33820" w:rsidRDefault="0D2E17DB" w:rsidP="004D3EEC">
            <w:pPr>
              <w:spacing w:before="120" w:after="120"/>
              <w:ind w:left="224" w:right="175"/>
              <w:jc w:val="both"/>
              <w:rPr>
                <w:rFonts w:cs="Arial"/>
              </w:rPr>
            </w:pPr>
            <w:r w:rsidRPr="00C33820">
              <w:rPr>
                <w:rFonts w:cs="Arial"/>
              </w:rPr>
              <w:t xml:space="preserve">The </w:t>
            </w:r>
            <w:r w:rsidR="00762CDB" w:rsidRPr="00C33820">
              <w:rPr>
                <w:rFonts w:cs="Arial"/>
              </w:rPr>
              <w:t>College</w:t>
            </w:r>
            <w:r w:rsidRPr="00C33820">
              <w:rPr>
                <w:rFonts w:cs="Arial"/>
              </w:rPr>
              <w:t xml:space="preserve"> is committed to involving students in its strategic decision making and operational management processes and firmly believes that embracing student views and offering an opportunity to have direct involvement in assessing and shaping their own learning experience will have a significant and effective impact on developing the </w:t>
            </w:r>
            <w:r w:rsidR="00762CDB" w:rsidRPr="00C33820">
              <w:rPr>
                <w:rFonts w:cs="Arial"/>
              </w:rPr>
              <w:t>College</w:t>
            </w:r>
            <w:r w:rsidRPr="00C33820">
              <w:rPr>
                <w:rFonts w:cs="Arial"/>
              </w:rPr>
              <w:t xml:space="preserve">’s quality improvement processes and increasing student success.   Our Student Involvement Policy facilitates student input not only as a customer of the </w:t>
            </w:r>
            <w:r w:rsidR="00762CDB" w:rsidRPr="00C33820">
              <w:rPr>
                <w:rFonts w:cs="Arial"/>
              </w:rPr>
              <w:t>College</w:t>
            </w:r>
            <w:r w:rsidRPr="00C33820">
              <w:rPr>
                <w:rFonts w:cs="Arial"/>
              </w:rPr>
              <w:t xml:space="preserve"> but by ensuring students act as co-producers of their educational experiences and outcomes, both individually and collectively, via the </w:t>
            </w:r>
            <w:r w:rsidR="00762CDB" w:rsidRPr="00C33820">
              <w:rPr>
                <w:rFonts w:cs="Arial"/>
              </w:rPr>
              <w:t>College</w:t>
            </w:r>
            <w:r w:rsidRPr="00C33820">
              <w:rPr>
                <w:rFonts w:cs="Arial"/>
              </w:rPr>
              <w:t xml:space="preserve">’s decision-making processes. </w:t>
            </w:r>
            <w:r w:rsidRPr="00C33820">
              <w:rPr>
                <w:rFonts w:eastAsiaTheme="minorEastAsia" w:cs="Arial"/>
              </w:rPr>
              <w:t>Student participation will be requested in the annual review of the Student Protection Plan through the Students' Union at HE Board of Study Meetings</w:t>
            </w:r>
            <w:r w:rsidRPr="00C33820">
              <w:rPr>
                <w:rFonts w:eastAsiaTheme="minorEastAsia" w:cs="Arial"/>
                <w:color w:val="19896D" w:themeColor="accent3" w:themeShade="BF"/>
              </w:rPr>
              <w:t>.</w:t>
            </w:r>
          </w:p>
          <w:p w14:paraId="2B2A91AA" w14:textId="0E6BF2CB" w:rsidR="6DB74985" w:rsidRPr="00C33820" w:rsidRDefault="0D2E17DB" w:rsidP="004D3EEC">
            <w:pPr>
              <w:tabs>
                <w:tab w:val="left" w:pos="1425"/>
              </w:tabs>
              <w:spacing w:before="120" w:after="120"/>
              <w:ind w:left="224" w:right="175"/>
              <w:jc w:val="both"/>
              <w:rPr>
                <w:rFonts w:eastAsiaTheme="minorEastAsia" w:cs="Arial"/>
                <w:szCs w:val="22"/>
              </w:rPr>
            </w:pPr>
            <w:r w:rsidRPr="00C33820">
              <w:rPr>
                <w:rFonts w:cs="Arial"/>
              </w:rPr>
              <w:t xml:space="preserve">The </w:t>
            </w:r>
            <w:r w:rsidR="00762CDB" w:rsidRPr="00C33820">
              <w:rPr>
                <w:rFonts w:cs="Arial"/>
              </w:rPr>
              <w:t>College</w:t>
            </w:r>
            <w:r w:rsidRPr="00C33820">
              <w:rPr>
                <w:rFonts w:cs="Arial"/>
              </w:rPr>
              <w:t xml:space="preserve">’s Admissions policy sets out the following framework to inform students of any material </w:t>
            </w:r>
            <w:r w:rsidRPr="00C33820">
              <w:rPr>
                <w:rFonts w:eastAsiaTheme="minorEastAsia" w:cs="Arial"/>
              </w:rPr>
              <w:t>changes to their course.</w:t>
            </w:r>
          </w:p>
          <w:p w14:paraId="110EAE5D" w14:textId="5EC5584B" w:rsidR="00877108" w:rsidRPr="00C33820" w:rsidRDefault="0D2E17DB" w:rsidP="004D3EEC">
            <w:pPr>
              <w:pStyle w:val="ListParagraph"/>
              <w:numPr>
                <w:ilvl w:val="0"/>
                <w:numId w:val="33"/>
              </w:numPr>
              <w:spacing w:before="120" w:after="120" w:line="240" w:lineRule="auto"/>
              <w:ind w:left="649" w:right="175"/>
              <w:contextualSpacing w:val="0"/>
              <w:jc w:val="both"/>
              <w:rPr>
                <w:rFonts w:ascii="Arial" w:hAnsi="Arial" w:cs="Arial"/>
              </w:rPr>
            </w:pPr>
            <w:r w:rsidRPr="00C33820">
              <w:rPr>
                <w:rFonts w:ascii="Arial" w:eastAsiaTheme="minorEastAsia" w:hAnsi="Arial" w:cs="Arial"/>
              </w:rPr>
              <w:t xml:space="preserve">The </w:t>
            </w:r>
            <w:r w:rsidR="00762CDB" w:rsidRPr="00C33820">
              <w:rPr>
                <w:rFonts w:ascii="Arial" w:eastAsiaTheme="minorEastAsia" w:hAnsi="Arial" w:cs="Arial"/>
              </w:rPr>
              <w:t>College</w:t>
            </w:r>
            <w:r w:rsidRPr="00C33820">
              <w:rPr>
                <w:rFonts w:ascii="Arial" w:eastAsiaTheme="minorEastAsia" w:hAnsi="Arial" w:cs="Arial"/>
              </w:rPr>
              <w:t xml:space="preserve"> endeavours to inform applicants at the earliest opportunity of any significant changes to the content or format of a course that are made between application and enrolment.</w:t>
            </w:r>
          </w:p>
          <w:p w14:paraId="741F8A24" w14:textId="4190EE33" w:rsidR="00877108" w:rsidRPr="00C33820" w:rsidRDefault="0D2E17DB" w:rsidP="004D3EEC">
            <w:pPr>
              <w:pStyle w:val="ListParagraph"/>
              <w:numPr>
                <w:ilvl w:val="0"/>
                <w:numId w:val="33"/>
              </w:numPr>
              <w:spacing w:before="120" w:after="120" w:line="240" w:lineRule="auto"/>
              <w:ind w:left="649" w:right="175"/>
              <w:contextualSpacing w:val="0"/>
              <w:jc w:val="both"/>
              <w:rPr>
                <w:rFonts w:ascii="Arial" w:hAnsi="Arial" w:cs="Arial"/>
              </w:rPr>
            </w:pPr>
            <w:r w:rsidRPr="00C33820">
              <w:rPr>
                <w:rFonts w:ascii="Arial" w:eastAsiaTheme="minorEastAsia" w:hAnsi="Arial" w:cs="Arial"/>
              </w:rPr>
              <w:t xml:space="preserve">The </w:t>
            </w:r>
            <w:r w:rsidR="00762CDB" w:rsidRPr="00C33820">
              <w:rPr>
                <w:rFonts w:ascii="Arial" w:eastAsiaTheme="minorEastAsia" w:hAnsi="Arial" w:cs="Arial"/>
              </w:rPr>
              <w:t>College</w:t>
            </w:r>
            <w:r w:rsidRPr="00C33820">
              <w:rPr>
                <w:rFonts w:ascii="Arial" w:eastAsiaTheme="minorEastAsia" w:hAnsi="Arial" w:cs="Arial"/>
              </w:rPr>
              <w:t xml:space="preserve"> aims to provide all the courses that are advertised in the prospectus, on the </w:t>
            </w:r>
            <w:r w:rsidR="00762CDB" w:rsidRPr="00C33820">
              <w:rPr>
                <w:rFonts w:ascii="Arial" w:eastAsiaTheme="minorEastAsia" w:hAnsi="Arial" w:cs="Arial"/>
              </w:rPr>
              <w:t>College</w:t>
            </w:r>
            <w:r w:rsidRPr="00C33820">
              <w:rPr>
                <w:rFonts w:ascii="Arial" w:eastAsiaTheme="minorEastAsia" w:hAnsi="Arial" w:cs="Arial"/>
              </w:rPr>
              <w:t xml:space="preserve"> website and on the UCAS website when applicable.  However, if it becomes necessary to withdraw a course, the </w:t>
            </w:r>
            <w:r w:rsidR="00762CDB" w:rsidRPr="00C33820">
              <w:rPr>
                <w:rFonts w:ascii="Arial" w:eastAsiaTheme="minorEastAsia" w:hAnsi="Arial" w:cs="Arial"/>
              </w:rPr>
              <w:t>College</w:t>
            </w:r>
            <w:r w:rsidRPr="00C33820">
              <w:rPr>
                <w:rFonts w:ascii="Arial" w:eastAsiaTheme="minorEastAsia" w:hAnsi="Arial" w:cs="Arial"/>
              </w:rPr>
              <w:t xml:space="preserve"> will inform applicants to the course at the earliest opportunity and will give applicants the chance to be considered for an alternative course where possible.  Where it is not possible to offer an alternative, or where an applicant does not wish to be considered for an alternative course at the </w:t>
            </w:r>
            <w:r w:rsidR="00762CDB" w:rsidRPr="00C33820">
              <w:rPr>
                <w:rFonts w:ascii="Arial" w:eastAsiaTheme="minorEastAsia" w:hAnsi="Arial" w:cs="Arial"/>
              </w:rPr>
              <w:t>College</w:t>
            </w:r>
            <w:r w:rsidRPr="00C33820">
              <w:rPr>
                <w:rFonts w:ascii="Arial" w:eastAsiaTheme="minorEastAsia" w:hAnsi="Arial" w:cs="Arial"/>
              </w:rPr>
              <w:t xml:space="preserve">, applicants are able to request a substitute choice through UCAS or the </w:t>
            </w:r>
            <w:r w:rsidR="00762CDB" w:rsidRPr="00C33820">
              <w:rPr>
                <w:rFonts w:ascii="Arial" w:eastAsiaTheme="minorEastAsia" w:hAnsi="Arial" w:cs="Arial"/>
              </w:rPr>
              <w:t>College</w:t>
            </w:r>
            <w:r w:rsidRPr="00C33820">
              <w:rPr>
                <w:rFonts w:ascii="Arial" w:eastAsiaTheme="minorEastAsia" w:hAnsi="Arial" w:cs="Arial"/>
              </w:rPr>
              <w:t xml:space="preserve">. The </w:t>
            </w:r>
            <w:r w:rsidR="00762CDB" w:rsidRPr="00C33820">
              <w:rPr>
                <w:rFonts w:ascii="Arial" w:eastAsiaTheme="minorEastAsia" w:hAnsi="Arial" w:cs="Arial"/>
              </w:rPr>
              <w:t>College</w:t>
            </w:r>
            <w:r w:rsidRPr="00C33820">
              <w:rPr>
                <w:rFonts w:ascii="Arial" w:eastAsiaTheme="minorEastAsia" w:hAnsi="Arial" w:cs="Arial"/>
              </w:rPr>
              <w:t xml:space="preserve"> will support the applicant in this process and provide the appropriate direction in order to achieve this.</w:t>
            </w:r>
          </w:p>
          <w:p w14:paraId="0E8C0153" w14:textId="640AA8C3" w:rsidR="003050C6" w:rsidRPr="004D3EEC" w:rsidRDefault="0D2E17DB" w:rsidP="004D3EEC">
            <w:pPr>
              <w:pStyle w:val="ListParagraph"/>
              <w:numPr>
                <w:ilvl w:val="0"/>
                <w:numId w:val="33"/>
              </w:numPr>
              <w:spacing w:before="120" w:after="120" w:line="240" w:lineRule="auto"/>
              <w:ind w:left="649" w:right="175"/>
              <w:contextualSpacing w:val="0"/>
              <w:jc w:val="both"/>
              <w:rPr>
                <w:rFonts w:ascii="Arial" w:hAnsi="Arial" w:cs="Arial"/>
              </w:rPr>
            </w:pPr>
            <w:r w:rsidRPr="00C33820">
              <w:rPr>
                <w:rFonts w:ascii="Arial" w:eastAsiaTheme="minorEastAsia" w:hAnsi="Arial" w:cs="Arial"/>
              </w:rPr>
              <w:t xml:space="preserve"> If any of the risks identified in this plan crystallise we will implement the plan and begin consultation with affected students at the earliest opportunity. We will establish the appropriate advice and support through consultation with the Students Union and will provide as much information around the circumstances, and what action will be taken and when. We will actively engage in discussion with all affected students, collectively and individually, and will provide regular updates via the most appropriate method of communication. </w:t>
            </w:r>
          </w:p>
        </w:tc>
      </w:tr>
      <w:bookmarkEnd w:id="2"/>
    </w:tbl>
    <w:p w14:paraId="6305154C" w14:textId="343D888E" w:rsidR="00B243A1" w:rsidRPr="004D3EEC" w:rsidRDefault="00B243A1" w:rsidP="000637C6">
      <w:pPr>
        <w:pStyle w:val="Heading2"/>
        <w:rPr>
          <w:rFonts w:cs="Arial"/>
          <w:sz w:val="2"/>
        </w:rPr>
      </w:pPr>
    </w:p>
    <w:sectPr w:rsidR="00B243A1" w:rsidRPr="004D3EEC" w:rsidSect="004D3EEC">
      <w:headerReference w:type="default" r:id="rId12"/>
      <w:footerReference w:type="default" r:id="rId13"/>
      <w:pgSz w:w="11907" w:h="16839"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41170"/>
      <w:docPartObj>
        <w:docPartGallery w:val="Page Numbers (Bottom of Page)"/>
        <w:docPartUnique/>
      </w:docPartObj>
    </w:sdtPr>
    <w:sdtEndPr>
      <w:rPr>
        <w:noProof/>
        <w:sz w:val="22"/>
      </w:rPr>
    </w:sdtEndPr>
    <w:sdtContent>
      <w:p w14:paraId="25CF6D73" w14:textId="4B05F6BB" w:rsidR="00DA28CC" w:rsidRPr="00C33820" w:rsidRDefault="00DA28CC" w:rsidP="00C33820">
        <w:pPr>
          <w:pStyle w:val="Footer"/>
          <w:jc w:val="right"/>
          <w:rPr>
            <w:sz w:val="22"/>
          </w:rPr>
        </w:pPr>
        <w:r w:rsidRPr="00C33820">
          <w:rPr>
            <w:sz w:val="22"/>
          </w:rPr>
          <w:fldChar w:fldCharType="begin"/>
        </w:r>
        <w:r w:rsidRPr="00C33820">
          <w:rPr>
            <w:sz w:val="22"/>
          </w:rPr>
          <w:instrText xml:space="preserve"> PAGE   \* MERGEFORMAT </w:instrText>
        </w:r>
        <w:r w:rsidRPr="00C33820">
          <w:rPr>
            <w:sz w:val="22"/>
          </w:rPr>
          <w:fldChar w:fldCharType="separate"/>
        </w:r>
        <w:r w:rsidR="00C64FA8">
          <w:rPr>
            <w:noProof/>
            <w:sz w:val="22"/>
          </w:rPr>
          <w:t>1</w:t>
        </w:r>
        <w:r w:rsidRPr="00C3382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B022" w14:textId="77777777" w:rsidR="00366475" w:rsidRPr="00366475" w:rsidRDefault="00366475" w:rsidP="00366475">
    <w:pPr>
      <w:pStyle w:val="Header"/>
      <w:spacing w:after="0" w:line="24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2AB181F"/>
    <w:multiLevelType w:val="hybridMultilevel"/>
    <w:tmpl w:val="35F8E61C"/>
    <w:lvl w:ilvl="0" w:tplc="10CE0EC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3512B3"/>
    <w:multiLevelType w:val="hybridMultilevel"/>
    <w:tmpl w:val="3CB2EE30"/>
    <w:lvl w:ilvl="0" w:tplc="9260F7C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7724D"/>
    <w:multiLevelType w:val="hybridMultilevel"/>
    <w:tmpl w:val="FBA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755E6"/>
    <w:multiLevelType w:val="hybridMultilevel"/>
    <w:tmpl w:val="31A044FA"/>
    <w:lvl w:ilvl="0" w:tplc="AF0AC0C0">
      <w:start w:val="1"/>
      <w:numFmt w:val="lowerRoman"/>
      <w:lvlText w:val="%1)"/>
      <w:lvlJc w:val="right"/>
      <w:pPr>
        <w:ind w:left="720" w:hanging="360"/>
      </w:pPr>
    </w:lvl>
    <w:lvl w:ilvl="1" w:tplc="33969210">
      <w:start w:val="1"/>
      <w:numFmt w:val="bullet"/>
      <w:lvlText w:val="o"/>
      <w:lvlJc w:val="left"/>
      <w:pPr>
        <w:ind w:left="1440" w:hanging="360"/>
      </w:pPr>
      <w:rPr>
        <w:rFonts w:ascii="Courier New" w:hAnsi="Courier New" w:hint="default"/>
      </w:rPr>
    </w:lvl>
    <w:lvl w:ilvl="2" w:tplc="D3D2B974">
      <w:start w:val="1"/>
      <w:numFmt w:val="bullet"/>
      <w:lvlText w:val=""/>
      <w:lvlJc w:val="left"/>
      <w:pPr>
        <w:ind w:left="2160" w:hanging="360"/>
      </w:pPr>
      <w:rPr>
        <w:rFonts w:ascii="Wingdings" w:hAnsi="Wingdings" w:hint="default"/>
      </w:rPr>
    </w:lvl>
    <w:lvl w:ilvl="3" w:tplc="09BA6A56">
      <w:start w:val="1"/>
      <w:numFmt w:val="bullet"/>
      <w:lvlText w:val=""/>
      <w:lvlJc w:val="left"/>
      <w:pPr>
        <w:ind w:left="2880" w:hanging="360"/>
      </w:pPr>
      <w:rPr>
        <w:rFonts w:ascii="Symbol" w:hAnsi="Symbol" w:hint="default"/>
      </w:rPr>
    </w:lvl>
    <w:lvl w:ilvl="4" w:tplc="D352724C">
      <w:start w:val="1"/>
      <w:numFmt w:val="bullet"/>
      <w:lvlText w:val="o"/>
      <w:lvlJc w:val="left"/>
      <w:pPr>
        <w:ind w:left="3600" w:hanging="360"/>
      </w:pPr>
      <w:rPr>
        <w:rFonts w:ascii="Courier New" w:hAnsi="Courier New" w:hint="default"/>
      </w:rPr>
    </w:lvl>
    <w:lvl w:ilvl="5" w:tplc="531E03E0">
      <w:start w:val="1"/>
      <w:numFmt w:val="bullet"/>
      <w:lvlText w:val=""/>
      <w:lvlJc w:val="left"/>
      <w:pPr>
        <w:ind w:left="4320" w:hanging="360"/>
      </w:pPr>
      <w:rPr>
        <w:rFonts w:ascii="Wingdings" w:hAnsi="Wingdings" w:hint="default"/>
      </w:rPr>
    </w:lvl>
    <w:lvl w:ilvl="6" w:tplc="F75C2004">
      <w:start w:val="1"/>
      <w:numFmt w:val="bullet"/>
      <w:lvlText w:val=""/>
      <w:lvlJc w:val="left"/>
      <w:pPr>
        <w:ind w:left="5040" w:hanging="360"/>
      </w:pPr>
      <w:rPr>
        <w:rFonts w:ascii="Symbol" w:hAnsi="Symbol" w:hint="default"/>
      </w:rPr>
    </w:lvl>
    <w:lvl w:ilvl="7" w:tplc="8EFA9696">
      <w:start w:val="1"/>
      <w:numFmt w:val="bullet"/>
      <w:lvlText w:val="o"/>
      <w:lvlJc w:val="left"/>
      <w:pPr>
        <w:ind w:left="5760" w:hanging="360"/>
      </w:pPr>
      <w:rPr>
        <w:rFonts w:ascii="Courier New" w:hAnsi="Courier New" w:hint="default"/>
      </w:rPr>
    </w:lvl>
    <w:lvl w:ilvl="8" w:tplc="A3C898FC">
      <w:start w:val="1"/>
      <w:numFmt w:val="bullet"/>
      <w:lvlText w:val=""/>
      <w:lvlJc w:val="left"/>
      <w:pPr>
        <w:ind w:left="6480" w:hanging="360"/>
      </w:pPr>
      <w:rPr>
        <w:rFonts w:ascii="Wingdings" w:hAnsi="Wingdings" w:hint="default"/>
      </w:rPr>
    </w:lvl>
  </w:abstractNum>
  <w:abstractNum w:abstractNumId="12" w15:restartNumberingAfterBreak="0">
    <w:nsid w:val="172D497E"/>
    <w:multiLevelType w:val="hybridMultilevel"/>
    <w:tmpl w:val="4D06724C"/>
    <w:lvl w:ilvl="0" w:tplc="E3A03220">
      <w:start w:val="5"/>
      <w:numFmt w:val="bullet"/>
      <w:lvlText w:val="-"/>
      <w:lvlJc w:val="left"/>
      <w:pPr>
        <w:ind w:left="720" w:hanging="360"/>
      </w:pPr>
      <w:rPr>
        <w:rFonts w:ascii="Calibri" w:eastAsiaTheme="minorEastAsia" w:hAnsi="Calibri" w:cs="Calibri" w:hint="default"/>
      </w:rPr>
    </w:lvl>
    <w:lvl w:ilvl="1" w:tplc="33969210">
      <w:start w:val="1"/>
      <w:numFmt w:val="bullet"/>
      <w:lvlText w:val="o"/>
      <w:lvlJc w:val="left"/>
      <w:pPr>
        <w:ind w:left="1440" w:hanging="360"/>
      </w:pPr>
      <w:rPr>
        <w:rFonts w:ascii="Courier New" w:hAnsi="Courier New" w:hint="default"/>
      </w:rPr>
    </w:lvl>
    <w:lvl w:ilvl="2" w:tplc="D3D2B974">
      <w:start w:val="1"/>
      <w:numFmt w:val="bullet"/>
      <w:lvlText w:val=""/>
      <w:lvlJc w:val="left"/>
      <w:pPr>
        <w:ind w:left="2160" w:hanging="360"/>
      </w:pPr>
      <w:rPr>
        <w:rFonts w:ascii="Wingdings" w:hAnsi="Wingdings" w:hint="default"/>
      </w:rPr>
    </w:lvl>
    <w:lvl w:ilvl="3" w:tplc="09BA6A56">
      <w:start w:val="1"/>
      <w:numFmt w:val="bullet"/>
      <w:lvlText w:val=""/>
      <w:lvlJc w:val="left"/>
      <w:pPr>
        <w:ind w:left="2880" w:hanging="360"/>
      </w:pPr>
      <w:rPr>
        <w:rFonts w:ascii="Symbol" w:hAnsi="Symbol" w:hint="default"/>
      </w:rPr>
    </w:lvl>
    <w:lvl w:ilvl="4" w:tplc="D352724C">
      <w:start w:val="1"/>
      <w:numFmt w:val="bullet"/>
      <w:lvlText w:val="o"/>
      <w:lvlJc w:val="left"/>
      <w:pPr>
        <w:ind w:left="3600" w:hanging="360"/>
      </w:pPr>
      <w:rPr>
        <w:rFonts w:ascii="Courier New" w:hAnsi="Courier New" w:hint="default"/>
      </w:rPr>
    </w:lvl>
    <w:lvl w:ilvl="5" w:tplc="531E03E0">
      <w:start w:val="1"/>
      <w:numFmt w:val="bullet"/>
      <w:lvlText w:val=""/>
      <w:lvlJc w:val="left"/>
      <w:pPr>
        <w:ind w:left="4320" w:hanging="360"/>
      </w:pPr>
      <w:rPr>
        <w:rFonts w:ascii="Wingdings" w:hAnsi="Wingdings" w:hint="default"/>
      </w:rPr>
    </w:lvl>
    <w:lvl w:ilvl="6" w:tplc="F75C2004">
      <w:start w:val="1"/>
      <w:numFmt w:val="bullet"/>
      <w:lvlText w:val=""/>
      <w:lvlJc w:val="left"/>
      <w:pPr>
        <w:ind w:left="5040" w:hanging="360"/>
      </w:pPr>
      <w:rPr>
        <w:rFonts w:ascii="Symbol" w:hAnsi="Symbol" w:hint="default"/>
      </w:rPr>
    </w:lvl>
    <w:lvl w:ilvl="7" w:tplc="8EFA9696">
      <w:start w:val="1"/>
      <w:numFmt w:val="bullet"/>
      <w:lvlText w:val="o"/>
      <w:lvlJc w:val="left"/>
      <w:pPr>
        <w:ind w:left="5760" w:hanging="360"/>
      </w:pPr>
      <w:rPr>
        <w:rFonts w:ascii="Courier New" w:hAnsi="Courier New" w:hint="default"/>
      </w:rPr>
    </w:lvl>
    <w:lvl w:ilvl="8" w:tplc="A3C898FC">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22F42602"/>
    <w:multiLevelType w:val="hybridMultilevel"/>
    <w:tmpl w:val="6F4E71C2"/>
    <w:lvl w:ilvl="0" w:tplc="AFDC3E32">
      <w:start w:val="1"/>
      <w:numFmt w:val="decimal"/>
      <w:lvlText w:val="%1."/>
      <w:lvlJc w:val="left"/>
      <w:pPr>
        <w:ind w:left="792" w:hanging="360"/>
      </w:pPr>
      <w:rPr>
        <w:rFonts w:ascii="Arial" w:eastAsiaTheme="minorEastAsia" w:hAnsi="Arial" w:cs="Aria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F4FEA"/>
    <w:multiLevelType w:val="multilevel"/>
    <w:tmpl w:val="2C2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1E06DF"/>
    <w:multiLevelType w:val="hybridMultilevel"/>
    <w:tmpl w:val="74069000"/>
    <w:lvl w:ilvl="0" w:tplc="08090001">
      <w:start w:val="1"/>
      <w:numFmt w:val="bullet"/>
      <w:lvlText w:val=""/>
      <w:lvlJc w:val="left"/>
      <w:pPr>
        <w:ind w:left="720" w:hanging="360"/>
      </w:pPr>
      <w:rPr>
        <w:rFonts w:ascii="Symbol" w:hAnsi="Symbol" w:hint="default"/>
      </w:rPr>
    </w:lvl>
    <w:lvl w:ilvl="1" w:tplc="33969210">
      <w:start w:val="1"/>
      <w:numFmt w:val="bullet"/>
      <w:lvlText w:val="o"/>
      <w:lvlJc w:val="left"/>
      <w:pPr>
        <w:ind w:left="1440" w:hanging="360"/>
      </w:pPr>
      <w:rPr>
        <w:rFonts w:ascii="Courier New" w:hAnsi="Courier New" w:hint="default"/>
      </w:rPr>
    </w:lvl>
    <w:lvl w:ilvl="2" w:tplc="D3D2B974">
      <w:start w:val="1"/>
      <w:numFmt w:val="bullet"/>
      <w:lvlText w:val=""/>
      <w:lvlJc w:val="left"/>
      <w:pPr>
        <w:ind w:left="2160" w:hanging="360"/>
      </w:pPr>
      <w:rPr>
        <w:rFonts w:ascii="Wingdings" w:hAnsi="Wingdings" w:hint="default"/>
      </w:rPr>
    </w:lvl>
    <w:lvl w:ilvl="3" w:tplc="09BA6A56">
      <w:start w:val="1"/>
      <w:numFmt w:val="bullet"/>
      <w:lvlText w:val=""/>
      <w:lvlJc w:val="left"/>
      <w:pPr>
        <w:ind w:left="2880" w:hanging="360"/>
      </w:pPr>
      <w:rPr>
        <w:rFonts w:ascii="Symbol" w:hAnsi="Symbol" w:hint="default"/>
      </w:rPr>
    </w:lvl>
    <w:lvl w:ilvl="4" w:tplc="D352724C">
      <w:start w:val="1"/>
      <w:numFmt w:val="bullet"/>
      <w:lvlText w:val="o"/>
      <w:lvlJc w:val="left"/>
      <w:pPr>
        <w:ind w:left="3600" w:hanging="360"/>
      </w:pPr>
      <w:rPr>
        <w:rFonts w:ascii="Courier New" w:hAnsi="Courier New" w:hint="default"/>
      </w:rPr>
    </w:lvl>
    <w:lvl w:ilvl="5" w:tplc="531E03E0">
      <w:start w:val="1"/>
      <w:numFmt w:val="bullet"/>
      <w:lvlText w:val=""/>
      <w:lvlJc w:val="left"/>
      <w:pPr>
        <w:ind w:left="4320" w:hanging="360"/>
      </w:pPr>
      <w:rPr>
        <w:rFonts w:ascii="Wingdings" w:hAnsi="Wingdings" w:hint="default"/>
      </w:rPr>
    </w:lvl>
    <w:lvl w:ilvl="6" w:tplc="F75C2004">
      <w:start w:val="1"/>
      <w:numFmt w:val="bullet"/>
      <w:lvlText w:val=""/>
      <w:lvlJc w:val="left"/>
      <w:pPr>
        <w:ind w:left="5040" w:hanging="360"/>
      </w:pPr>
      <w:rPr>
        <w:rFonts w:ascii="Symbol" w:hAnsi="Symbol" w:hint="default"/>
      </w:rPr>
    </w:lvl>
    <w:lvl w:ilvl="7" w:tplc="8EFA9696">
      <w:start w:val="1"/>
      <w:numFmt w:val="bullet"/>
      <w:lvlText w:val="o"/>
      <w:lvlJc w:val="left"/>
      <w:pPr>
        <w:ind w:left="5760" w:hanging="360"/>
      </w:pPr>
      <w:rPr>
        <w:rFonts w:ascii="Courier New" w:hAnsi="Courier New" w:hint="default"/>
      </w:rPr>
    </w:lvl>
    <w:lvl w:ilvl="8" w:tplc="A3C898FC">
      <w:start w:val="1"/>
      <w:numFmt w:val="bullet"/>
      <w:lvlText w:val=""/>
      <w:lvlJc w:val="left"/>
      <w:pPr>
        <w:ind w:left="6480" w:hanging="360"/>
      </w:pPr>
      <w:rPr>
        <w:rFonts w:ascii="Wingdings" w:hAnsi="Wingdings" w:hint="default"/>
      </w:rPr>
    </w:lvl>
  </w:abstractNum>
  <w:abstractNum w:abstractNumId="24" w15:restartNumberingAfterBreak="0">
    <w:nsid w:val="3D2D23C4"/>
    <w:multiLevelType w:val="hybridMultilevel"/>
    <w:tmpl w:val="618C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3662E9"/>
    <w:multiLevelType w:val="hybridMultilevel"/>
    <w:tmpl w:val="45A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A32131"/>
    <w:multiLevelType w:val="hybridMultilevel"/>
    <w:tmpl w:val="842289B4"/>
    <w:lvl w:ilvl="0" w:tplc="E3A03220">
      <w:start w:val="5"/>
      <w:numFmt w:val="bullet"/>
      <w:lvlText w:val="-"/>
      <w:lvlJc w:val="left"/>
      <w:pPr>
        <w:ind w:left="1368" w:hanging="360"/>
      </w:pPr>
      <w:rPr>
        <w:rFonts w:ascii="Calibri" w:eastAsiaTheme="minorEastAsia" w:hAnsi="Calibri" w:cs="Calibri"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31"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3"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4" w15:restartNumberingAfterBreak="0">
    <w:nsid w:val="5FF45793"/>
    <w:multiLevelType w:val="hybridMultilevel"/>
    <w:tmpl w:val="D9ECC588"/>
    <w:lvl w:ilvl="0" w:tplc="A3100672">
      <w:start w:val="1"/>
      <w:numFmt w:val="lowerRoman"/>
      <w:lvlText w:val="%1)"/>
      <w:lvlJc w:val="right"/>
      <w:pPr>
        <w:ind w:left="720" w:hanging="360"/>
      </w:pPr>
    </w:lvl>
    <w:lvl w:ilvl="1" w:tplc="C76282DE">
      <w:start w:val="1"/>
      <w:numFmt w:val="lowerLetter"/>
      <w:lvlText w:val="%2."/>
      <w:lvlJc w:val="left"/>
      <w:pPr>
        <w:ind w:left="1440" w:hanging="360"/>
      </w:pPr>
    </w:lvl>
    <w:lvl w:ilvl="2" w:tplc="EFC051DC">
      <w:start w:val="1"/>
      <w:numFmt w:val="lowerRoman"/>
      <w:lvlText w:val="%3."/>
      <w:lvlJc w:val="right"/>
      <w:pPr>
        <w:ind w:left="2160" w:hanging="180"/>
      </w:pPr>
    </w:lvl>
    <w:lvl w:ilvl="3" w:tplc="B3E281E0">
      <w:start w:val="1"/>
      <w:numFmt w:val="decimal"/>
      <w:lvlText w:val="%4."/>
      <w:lvlJc w:val="left"/>
      <w:pPr>
        <w:ind w:left="2880" w:hanging="360"/>
      </w:pPr>
    </w:lvl>
    <w:lvl w:ilvl="4" w:tplc="FF76E100">
      <w:start w:val="1"/>
      <w:numFmt w:val="lowerLetter"/>
      <w:lvlText w:val="%5."/>
      <w:lvlJc w:val="left"/>
      <w:pPr>
        <w:ind w:left="3600" w:hanging="360"/>
      </w:pPr>
    </w:lvl>
    <w:lvl w:ilvl="5" w:tplc="5FEC6B02">
      <w:start w:val="1"/>
      <w:numFmt w:val="lowerRoman"/>
      <w:lvlText w:val="%6."/>
      <w:lvlJc w:val="right"/>
      <w:pPr>
        <w:ind w:left="4320" w:hanging="180"/>
      </w:pPr>
    </w:lvl>
    <w:lvl w:ilvl="6" w:tplc="A190AB90">
      <w:start w:val="1"/>
      <w:numFmt w:val="decimal"/>
      <w:lvlText w:val="%7."/>
      <w:lvlJc w:val="left"/>
      <w:pPr>
        <w:ind w:left="5040" w:hanging="360"/>
      </w:pPr>
    </w:lvl>
    <w:lvl w:ilvl="7" w:tplc="4E4E6758">
      <w:start w:val="1"/>
      <w:numFmt w:val="lowerLetter"/>
      <w:lvlText w:val="%8."/>
      <w:lvlJc w:val="left"/>
      <w:pPr>
        <w:ind w:left="5760" w:hanging="360"/>
      </w:pPr>
    </w:lvl>
    <w:lvl w:ilvl="8" w:tplc="F8E4C988">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309D6"/>
    <w:multiLevelType w:val="hybridMultilevel"/>
    <w:tmpl w:val="26F02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9"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B588A"/>
    <w:multiLevelType w:val="hybridMultilevel"/>
    <w:tmpl w:val="F2AA1F76"/>
    <w:lvl w:ilvl="0" w:tplc="338856B2">
      <w:start w:val="1"/>
      <w:numFmt w:val="decimal"/>
      <w:lvlText w:val="%1."/>
      <w:lvlJc w:val="left"/>
      <w:pPr>
        <w:ind w:left="720" w:hanging="360"/>
      </w:pPr>
    </w:lvl>
    <w:lvl w:ilvl="1" w:tplc="3D985E66">
      <w:start w:val="1"/>
      <w:numFmt w:val="lowerRoman"/>
      <w:lvlText w:val="%2)"/>
      <w:lvlJc w:val="right"/>
      <w:pPr>
        <w:ind w:left="1440" w:hanging="360"/>
      </w:pPr>
    </w:lvl>
    <w:lvl w:ilvl="2" w:tplc="D93678D2">
      <w:start w:val="1"/>
      <w:numFmt w:val="lowerRoman"/>
      <w:lvlText w:val="%3."/>
      <w:lvlJc w:val="right"/>
      <w:pPr>
        <w:ind w:left="2160" w:hanging="180"/>
      </w:pPr>
    </w:lvl>
    <w:lvl w:ilvl="3" w:tplc="AF6A2C9A">
      <w:start w:val="1"/>
      <w:numFmt w:val="decimal"/>
      <w:lvlText w:val="%4."/>
      <w:lvlJc w:val="left"/>
      <w:pPr>
        <w:ind w:left="2880" w:hanging="360"/>
      </w:pPr>
    </w:lvl>
    <w:lvl w:ilvl="4" w:tplc="78606672">
      <w:start w:val="1"/>
      <w:numFmt w:val="lowerLetter"/>
      <w:lvlText w:val="%5."/>
      <w:lvlJc w:val="left"/>
      <w:pPr>
        <w:ind w:left="3600" w:hanging="360"/>
      </w:pPr>
    </w:lvl>
    <w:lvl w:ilvl="5" w:tplc="96BE9868">
      <w:start w:val="1"/>
      <w:numFmt w:val="lowerRoman"/>
      <w:lvlText w:val="%6."/>
      <w:lvlJc w:val="right"/>
      <w:pPr>
        <w:ind w:left="4320" w:hanging="180"/>
      </w:pPr>
    </w:lvl>
    <w:lvl w:ilvl="6" w:tplc="7CA42E2E">
      <w:start w:val="1"/>
      <w:numFmt w:val="decimal"/>
      <w:lvlText w:val="%7."/>
      <w:lvlJc w:val="left"/>
      <w:pPr>
        <w:ind w:left="5040" w:hanging="360"/>
      </w:pPr>
    </w:lvl>
    <w:lvl w:ilvl="7" w:tplc="03A08248">
      <w:start w:val="1"/>
      <w:numFmt w:val="lowerLetter"/>
      <w:lvlText w:val="%8."/>
      <w:lvlJc w:val="left"/>
      <w:pPr>
        <w:ind w:left="5760" w:hanging="360"/>
      </w:pPr>
    </w:lvl>
    <w:lvl w:ilvl="8" w:tplc="8020EAA2">
      <w:start w:val="1"/>
      <w:numFmt w:val="lowerRoman"/>
      <w:lvlText w:val="%9."/>
      <w:lvlJc w:val="right"/>
      <w:pPr>
        <w:ind w:left="6480" w:hanging="180"/>
      </w:pPr>
    </w:lvl>
  </w:abstractNum>
  <w:num w:numId="1">
    <w:abstractNumId w:val="40"/>
  </w:num>
  <w:num w:numId="2">
    <w:abstractNumId w:val="34"/>
  </w:num>
  <w:num w:numId="3">
    <w:abstractNumId w:val="11"/>
  </w:num>
  <w:num w:numId="4">
    <w:abstractNumId w:val="3"/>
  </w:num>
  <w:num w:numId="5">
    <w:abstractNumId w:val="2"/>
  </w:num>
  <w:num w:numId="6">
    <w:abstractNumId w:val="38"/>
  </w:num>
  <w:num w:numId="7">
    <w:abstractNumId w:val="33"/>
  </w:num>
  <w:num w:numId="8">
    <w:abstractNumId w:val="22"/>
  </w:num>
  <w:num w:numId="9">
    <w:abstractNumId w:val="35"/>
  </w:num>
  <w:num w:numId="10">
    <w:abstractNumId w:val="25"/>
  </w:num>
  <w:num w:numId="11">
    <w:abstractNumId w:val="36"/>
  </w:num>
  <w:num w:numId="12">
    <w:abstractNumId w:val="6"/>
  </w:num>
  <w:num w:numId="13">
    <w:abstractNumId w:val="13"/>
  </w:num>
  <w:num w:numId="14">
    <w:abstractNumId w:val="9"/>
  </w:num>
  <w:num w:numId="15">
    <w:abstractNumId w:val="18"/>
  </w:num>
  <w:num w:numId="16">
    <w:abstractNumId w:val="26"/>
  </w:num>
  <w:num w:numId="17">
    <w:abstractNumId w:val="28"/>
  </w:num>
  <w:num w:numId="18">
    <w:abstractNumId w:val="32"/>
  </w:num>
  <w:num w:numId="19">
    <w:abstractNumId w:val="19"/>
  </w:num>
  <w:num w:numId="20">
    <w:abstractNumId w:val="16"/>
  </w:num>
  <w:num w:numId="21">
    <w:abstractNumId w:val="31"/>
  </w:num>
  <w:num w:numId="22">
    <w:abstractNumId w:val="21"/>
  </w:num>
  <w:num w:numId="23">
    <w:abstractNumId w:val="7"/>
  </w:num>
  <w:num w:numId="24">
    <w:abstractNumId w:val="1"/>
  </w:num>
  <w:num w:numId="25">
    <w:abstractNumId w:val="0"/>
  </w:num>
  <w:num w:numId="26">
    <w:abstractNumId w:val="29"/>
  </w:num>
  <w:num w:numId="27">
    <w:abstractNumId w:val="4"/>
  </w:num>
  <w:num w:numId="28">
    <w:abstractNumId w:val="17"/>
  </w:num>
  <w:num w:numId="29">
    <w:abstractNumId w:val="39"/>
  </w:num>
  <w:num w:numId="30">
    <w:abstractNumId w:val="5"/>
  </w:num>
  <w:num w:numId="31">
    <w:abstractNumId w:val="8"/>
  </w:num>
  <w:num w:numId="32">
    <w:abstractNumId w:val="14"/>
  </w:num>
  <w:num w:numId="33">
    <w:abstractNumId w:val="30"/>
  </w:num>
  <w:num w:numId="34">
    <w:abstractNumId w:val="37"/>
  </w:num>
  <w:num w:numId="35">
    <w:abstractNumId w:val="23"/>
  </w:num>
  <w:num w:numId="36">
    <w:abstractNumId w:val="12"/>
  </w:num>
  <w:num w:numId="37">
    <w:abstractNumId w:val="20"/>
  </w:num>
  <w:num w:numId="38">
    <w:abstractNumId w:val="27"/>
  </w:num>
  <w:num w:numId="39">
    <w:abstractNumId w:val="10"/>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37C6"/>
    <w:rsid w:val="000663EA"/>
    <w:rsid w:val="00074496"/>
    <w:rsid w:val="00074E1D"/>
    <w:rsid w:val="00078012"/>
    <w:rsid w:val="000877E7"/>
    <w:rsid w:val="000A091F"/>
    <w:rsid w:val="000B1982"/>
    <w:rsid w:val="000B2EE5"/>
    <w:rsid w:val="000C185D"/>
    <w:rsid w:val="000C5B6E"/>
    <w:rsid w:val="000D3A1B"/>
    <w:rsid w:val="000D3D89"/>
    <w:rsid w:val="000D5DA1"/>
    <w:rsid w:val="000E075A"/>
    <w:rsid w:val="000E0EC0"/>
    <w:rsid w:val="000F1570"/>
    <w:rsid w:val="000F28CB"/>
    <w:rsid w:val="000F5AF3"/>
    <w:rsid w:val="00100D1E"/>
    <w:rsid w:val="001023CD"/>
    <w:rsid w:val="001262A3"/>
    <w:rsid w:val="00130CDB"/>
    <w:rsid w:val="00131090"/>
    <w:rsid w:val="0013202B"/>
    <w:rsid w:val="00134ED7"/>
    <w:rsid w:val="00136860"/>
    <w:rsid w:val="001473F6"/>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2F89"/>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2F27"/>
    <w:rsid w:val="002B4599"/>
    <w:rsid w:val="002B7B4F"/>
    <w:rsid w:val="002D2403"/>
    <w:rsid w:val="002D745E"/>
    <w:rsid w:val="002E1D5E"/>
    <w:rsid w:val="002E3CD1"/>
    <w:rsid w:val="002E51DA"/>
    <w:rsid w:val="002F498D"/>
    <w:rsid w:val="00301699"/>
    <w:rsid w:val="003050C6"/>
    <w:rsid w:val="0031429A"/>
    <w:rsid w:val="00320C8E"/>
    <w:rsid w:val="00323391"/>
    <w:rsid w:val="003243C4"/>
    <w:rsid w:val="00324CFE"/>
    <w:rsid w:val="00324D5D"/>
    <w:rsid w:val="00334706"/>
    <w:rsid w:val="00340DA7"/>
    <w:rsid w:val="003410B9"/>
    <w:rsid w:val="0036330C"/>
    <w:rsid w:val="00363C85"/>
    <w:rsid w:val="00365188"/>
    <w:rsid w:val="00366475"/>
    <w:rsid w:val="00367FB3"/>
    <w:rsid w:val="0038228E"/>
    <w:rsid w:val="0038634B"/>
    <w:rsid w:val="0038687B"/>
    <w:rsid w:val="003905ED"/>
    <w:rsid w:val="0039096E"/>
    <w:rsid w:val="003940B8"/>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4E78"/>
    <w:rsid w:val="003F6BB8"/>
    <w:rsid w:val="00402226"/>
    <w:rsid w:val="00406ABC"/>
    <w:rsid w:val="004105DB"/>
    <w:rsid w:val="0041795A"/>
    <w:rsid w:val="004330C0"/>
    <w:rsid w:val="004436B6"/>
    <w:rsid w:val="004441DA"/>
    <w:rsid w:val="00446547"/>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D3EEC"/>
    <w:rsid w:val="004E76DB"/>
    <w:rsid w:val="004E7CCF"/>
    <w:rsid w:val="004F3BB6"/>
    <w:rsid w:val="004F3FB4"/>
    <w:rsid w:val="004F586D"/>
    <w:rsid w:val="00502771"/>
    <w:rsid w:val="00503D95"/>
    <w:rsid w:val="005125C9"/>
    <w:rsid w:val="0051282C"/>
    <w:rsid w:val="00514F42"/>
    <w:rsid w:val="00516508"/>
    <w:rsid w:val="00524398"/>
    <w:rsid w:val="00530385"/>
    <w:rsid w:val="005375A0"/>
    <w:rsid w:val="00540F44"/>
    <w:rsid w:val="00546009"/>
    <w:rsid w:val="005540C8"/>
    <w:rsid w:val="00556F0D"/>
    <w:rsid w:val="00573924"/>
    <w:rsid w:val="00576D09"/>
    <w:rsid w:val="00580F45"/>
    <w:rsid w:val="005951AB"/>
    <w:rsid w:val="0059532F"/>
    <w:rsid w:val="005A2F97"/>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6E71"/>
    <w:rsid w:val="00682889"/>
    <w:rsid w:val="0068663C"/>
    <w:rsid w:val="006872F0"/>
    <w:rsid w:val="006976C8"/>
    <w:rsid w:val="006A081F"/>
    <w:rsid w:val="006A4311"/>
    <w:rsid w:val="006A4536"/>
    <w:rsid w:val="006A5F8D"/>
    <w:rsid w:val="006C096D"/>
    <w:rsid w:val="006C150E"/>
    <w:rsid w:val="006E2F47"/>
    <w:rsid w:val="006F5154"/>
    <w:rsid w:val="0070046D"/>
    <w:rsid w:val="0070151E"/>
    <w:rsid w:val="007045CC"/>
    <w:rsid w:val="00704A35"/>
    <w:rsid w:val="00706787"/>
    <w:rsid w:val="00711D1A"/>
    <w:rsid w:val="00712C5A"/>
    <w:rsid w:val="0071549C"/>
    <w:rsid w:val="007165C2"/>
    <w:rsid w:val="00720ACE"/>
    <w:rsid w:val="0072197C"/>
    <w:rsid w:val="0072431C"/>
    <w:rsid w:val="00724BE0"/>
    <w:rsid w:val="00735025"/>
    <w:rsid w:val="0073703D"/>
    <w:rsid w:val="0074692D"/>
    <w:rsid w:val="00753099"/>
    <w:rsid w:val="00756665"/>
    <w:rsid w:val="00762CDB"/>
    <w:rsid w:val="00764474"/>
    <w:rsid w:val="00767605"/>
    <w:rsid w:val="00767F94"/>
    <w:rsid w:val="00772814"/>
    <w:rsid w:val="00774175"/>
    <w:rsid w:val="00776958"/>
    <w:rsid w:val="00784194"/>
    <w:rsid w:val="00791A20"/>
    <w:rsid w:val="00793DBA"/>
    <w:rsid w:val="007B480A"/>
    <w:rsid w:val="007B4AD4"/>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77108"/>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41CC3"/>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2D07"/>
    <w:rsid w:val="00A04B00"/>
    <w:rsid w:val="00A066E4"/>
    <w:rsid w:val="00A14B15"/>
    <w:rsid w:val="00A20432"/>
    <w:rsid w:val="00A27ECD"/>
    <w:rsid w:val="00A36BB9"/>
    <w:rsid w:val="00A40F6E"/>
    <w:rsid w:val="00A50D25"/>
    <w:rsid w:val="00A677D2"/>
    <w:rsid w:val="00A71F43"/>
    <w:rsid w:val="00A76B24"/>
    <w:rsid w:val="00A77074"/>
    <w:rsid w:val="00A77168"/>
    <w:rsid w:val="00A82A28"/>
    <w:rsid w:val="00A8647D"/>
    <w:rsid w:val="00A86B94"/>
    <w:rsid w:val="00A95E17"/>
    <w:rsid w:val="00AB09DC"/>
    <w:rsid w:val="00AB1AFC"/>
    <w:rsid w:val="00AB2CDB"/>
    <w:rsid w:val="00AB78AB"/>
    <w:rsid w:val="00AC53F8"/>
    <w:rsid w:val="00AC771C"/>
    <w:rsid w:val="00AC790D"/>
    <w:rsid w:val="00AC7EAC"/>
    <w:rsid w:val="00AD45D9"/>
    <w:rsid w:val="00AD7C7E"/>
    <w:rsid w:val="00AD7CBE"/>
    <w:rsid w:val="00AF08CE"/>
    <w:rsid w:val="00AF2BA2"/>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E2C0B"/>
    <w:rsid w:val="00BF6142"/>
    <w:rsid w:val="00BF6AB2"/>
    <w:rsid w:val="00C03351"/>
    <w:rsid w:val="00C03981"/>
    <w:rsid w:val="00C3126A"/>
    <w:rsid w:val="00C316E5"/>
    <w:rsid w:val="00C33820"/>
    <w:rsid w:val="00C44E37"/>
    <w:rsid w:val="00C525CB"/>
    <w:rsid w:val="00C60B19"/>
    <w:rsid w:val="00C64980"/>
    <w:rsid w:val="00C64FA8"/>
    <w:rsid w:val="00C663BA"/>
    <w:rsid w:val="00C73337"/>
    <w:rsid w:val="00CA7BBB"/>
    <w:rsid w:val="00CB3A64"/>
    <w:rsid w:val="00CB588F"/>
    <w:rsid w:val="00CB64FD"/>
    <w:rsid w:val="00CC44A2"/>
    <w:rsid w:val="00CC50C3"/>
    <w:rsid w:val="00CC5EE9"/>
    <w:rsid w:val="00CC687D"/>
    <w:rsid w:val="00CC72AB"/>
    <w:rsid w:val="00CD321F"/>
    <w:rsid w:val="00CD357C"/>
    <w:rsid w:val="00CD4887"/>
    <w:rsid w:val="00CD4E6A"/>
    <w:rsid w:val="00CF1660"/>
    <w:rsid w:val="00CF1A90"/>
    <w:rsid w:val="00D01383"/>
    <w:rsid w:val="00D10566"/>
    <w:rsid w:val="00D12FC0"/>
    <w:rsid w:val="00D15526"/>
    <w:rsid w:val="00D2326A"/>
    <w:rsid w:val="00D243B6"/>
    <w:rsid w:val="00D31527"/>
    <w:rsid w:val="00D35FB2"/>
    <w:rsid w:val="00D37726"/>
    <w:rsid w:val="00D37A1E"/>
    <w:rsid w:val="00D37BB4"/>
    <w:rsid w:val="00D4094B"/>
    <w:rsid w:val="00D40C9F"/>
    <w:rsid w:val="00D41DF6"/>
    <w:rsid w:val="00D56F60"/>
    <w:rsid w:val="00D5749C"/>
    <w:rsid w:val="00D577C0"/>
    <w:rsid w:val="00D57882"/>
    <w:rsid w:val="00D60FFC"/>
    <w:rsid w:val="00D712FF"/>
    <w:rsid w:val="00D8044C"/>
    <w:rsid w:val="00D805C2"/>
    <w:rsid w:val="00D838B5"/>
    <w:rsid w:val="00D8790E"/>
    <w:rsid w:val="00DA25F5"/>
    <w:rsid w:val="00DA2879"/>
    <w:rsid w:val="00DA28CC"/>
    <w:rsid w:val="00DA4D63"/>
    <w:rsid w:val="00DA63A9"/>
    <w:rsid w:val="00DB05D0"/>
    <w:rsid w:val="00DB15CA"/>
    <w:rsid w:val="00DB1F87"/>
    <w:rsid w:val="00DB5AC0"/>
    <w:rsid w:val="00DC0A51"/>
    <w:rsid w:val="00DC24A4"/>
    <w:rsid w:val="00DC59B7"/>
    <w:rsid w:val="00DD1784"/>
    <w:rsid w:val="00DD2C04"/>
    <w:rsid w:val="00DD6262"/>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EF7146"/>
    <w:rsid w:val="00F0001C"/>
    <w:rsid w:val="00F02A0E"/>
    <w:rsid w:val="00F03404"/>
    <w:rsid w:val="00F11003"/>
    <w:rsid w:val="00F12A34"/>
    <w:rsid w:val="00F1300D"/>
    <w:rsid w:val="00F155A7"/>
    <w:rsid w:val="00F15E6F"/>
    <w:rsid w:val="00F24479"/>
    <w:rsid w:val="00F3334D"/>
    <w:rsid w:val="00F34194"/>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02B8"/>
    <w:rsid w:val="00FD3F56"/>
    <w:rsid w:val="00FF068C"/>
    <w:rsid w:val="00FF3F0B"/>
    <w:rsid w:val="01D9A050"/>
    <w:rsid w:val="01DE122F"/>
    <w:rsid w:val="026E25ED"/>
    <w:rsid w:val="02CD0F69"/>
    <w:rsid w:val="02FD9BFB"/>
    <w:rsid w:val="051C3F37"/>
    <w:rsid w:val="054EC64D"/>
    <w:rsid w:val="0551EB1B"/>
    <w:rsid w:val="07552C30"/>
    <w:rsid w:val="0835F25D"/>
    <w:rsid w:val="08A8730F"/>
    <w:rsid w:val="0969FBB6"/>
    <w:rsid w:val="09BB4B1E"/>
    <w:rsid w:val="0B937B93"/>
    <w:rsid w:val="0D2E17DB"/>
    <w:rsid w:val="0E1BC2F0"/>
    <w:rsid w:val="0E24867A"/>
    <w:rsid w:val="0E4E9DDB"/>
    <w:rsid w:val="0E6FB61D"/>
    <w:rsid w:val="0E963E22"/>
    <w:rsid w:val="0F2C89B1"/>
    <w:rsid w:val="10A23C88"/>
    <w:rsid w:val="1110F23D"/>
    <w:rsid w:val="11BDA806"/>
    <w:rsid w:val="128CC771"/>
    <w:rsid w:val="1353BEC0"/>
    <w:rsid w:val="16609BA1"/>
    <w:rsid w:val="181A3AE4"/>
    <w:rsid w:val="182E1B82"/>
    <w:rsid w:val="19300269"/>
    <w:rsid w:val="19889822"/>
    <w:rsid w:val="19E8A020"/>
    <w:rsid w:val="19F075C2"/>
    <w:rsid w:val="1A0715E2"/>
    <w:rsid w:val="1BBB91D5"/>
    <w:rsid w:val="1C41877E"/>
    <w:rsid w:val="1D36A824"/>
    <w:rsid w:val="1F1E3D93"/>
    <w:rsid w:val="1FF6C58B"/>
    <w:rsid w:val="200B5143"/>
    <w:rsid w:val="21B8E009"/>
    <w:rsid w:val="21FF4135"/>
    <w:rsid w:val="22E21774"/>
    <w:rsid w:val="24BC9EF0"/>
    <w:rsid w:val="27AF385F"/>
    <w:rsid w:val="2A327230"/>
    <w:rsid w:val="2A8ADEBF"/>
    <w:rsid w:val="2B5D45C6"/>
    <w:rsid w:val="2C209290"/>
    <w:rsid w:val="2C34A1DD"/>
    <w:rsid w:val="2D0B1569"/>
    <w:rsid w:val="2E0493BE"/>
    <w:rsid w:val="2E90A4AF"/>
    <w:rsid w:val="2F4D1E60"/>
    <w:rsid w:val="30790ED8"/>
    <w:rsid w:val="3337A451"/>
    <w:rsid w:val="352E8503"/>
    <w:rsid w:val="35B89EB3"/>
    <w:rsid w:val="3625242B"/>
    <w:rsid w:val="3838008B"/>
    <w:rsid w:val="3A1B6689"/>
    <w:rsid w:val="3A8E4683"/>
    <w:rsid w:val="3AE63000"/>
    <w:rsid w:val="3BD66866"/>
    <w:rsid w:val="3BD77C34"/>
    <w:rsid w:val="3BE97A34"/>
    <w:rsid w:val="3DC22405"/>
    <w:rsid w:val="3E6DFD98"/>
    <w:rsid w:val="4012B2DA"/>
    <w:rsid w:val="437918BA"/>
    <w:rsid w:val="43CB0008"/>
    <w:rsid w:val="43D7AE3A"/>
    <w:rsid w:val="441F78AF"/>
    <w:rsid w:val="447C6181"/>
    <w:rsid w:val="44D380C5"/>
    <w:rsid w:val="459ACBF7"/>
    <w:rsid w:val="45C1885F"/>
    <w:rsid w:val="4705BB9B"/>
    <w:rsid w:val="478B7897"/>
    <w:rsid w:val="479C7242"/>
    <w:rsid w:val="47FB72D1"/>
    <w:rsid w:val="48B1CC14"/>
    <w:rsid w:val="48EF8281"/>
    <w:rsid w:val="4A00ADEC"/>
    <w:rsid w:val="4AF8F690"/>
    <w:rsid w:val="4CA798F6"/>
    <w:rsid w:val="4CD5A9E9"/>
    <w:rsid w:val="4D778A6C"/>
    <w:rsid w:val="4D9A0ED7"/>
    <w:rsid w:val="4E3A2D75"/>
    <w:rsid w:val="4E479E2F"/>
    <w:rsid w:val="4F8385BF"/>
    <w:rsid w:val="4F872C28"/>
    <w:rsid w:val="4F9C9E63"/>
    <w:rsid w:val="4FEB041A"/>
    <w:rsid w:val="53BB50C6"/>
    <w:rsid w:val="53D0E6D5"/>
    <w:rsid w:val="5461D42E"/>
    <w:rsid w:val="550D11A0"/>
    <w:rsid w:val="5634A89C"/>
    <w:rsid w:val="578A1473"/>
    <w:rsid w:val="5794D96F"/>
    <w:rsid w:val="587A4867"/>
    <w:rsid w:val="58B6FF77"/>
    <w:rsid w:val="59B39E4C"/>
    <w:rsid w:val="5A326031"/>
    <w:rsid w:val="5A5628D2"/>
    <w:rsid w:val="5BE8C1AA"/>
    <w:rsid w:val="5FA3BBAC"/>
    <w:rsid w:val="61C6753F"/>
    <w:rsid w:val="63552715"/>
    <w:rsid w:val="6496590B"/>
    <w:rsid w:val="64B1BC47"/>
    <w:rsid w:val="64E4A5A3"/>
    <w:rsid w:val="6597D6F3"/>
    <w:rsid w:val="6782BAA3"/>
    <w:rsid w:val="678A86C8"/>
    <w:rsid w:val="67B9849A"/>
    <w:rsid w:val="690DAFD5"/>
    <w:rsid w:val="6A1CBC7C"/>
    <w:rsid w:val="6AD792BF"/>
    <w:rsid w:val="6C31B67E"/>
    <w:rsid w:val="6C34385E"/>
    <w:rsid w:val="6C5B8590"/>
    <w:rsid w:val="6CC6851C"/>
    <w:rsid w:val="6DB74985"/>
    <w:rsid w:val="6E9B532A"/>
    <w:rsid w:val="6EB50115"/>
    <w:rsid w:val="6EFE6655"/>
    <w:rsid w:val="6F488519"/>
    <w:rsid w:val="70F6A80F"/>
    <w:rsid w:val="7135CF8D"/>
    <w:rsid w:val="73430E5B"/>
    <w:rsid w:val="74BF47C2"/>
    <w:rsid w:val="75375602"/>
    <w:rsid w:val="7680ADE8"/>
    <w:rsid w:val="77E32015"/>
    <w:rsid w:val="78D4E479"/>
    <w:rsid w:val="79182874"/>
    <w:rsid w:val="794DEBF1"/>
    <w:rsid w:val="7B084B9F"/>
    <w:rsid w:val="7BD54917"/>
    <w:rsid w:val="7C0A982C"/>
    <w:rsid w:val="7D1DF0E2"/>
    <w:rsid w:val="7D2E73EB"/>
    <w:rsid w:val="7D525525"/>
    <w:rsid w:val="7E4114F7"/>
    <w:rsid w:val="7F446AC1"/>
    <w:rsid w:val="7F7AB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9"/>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9"/>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9"/>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9"/>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8"/>
      </w:numPr>
    </w:pPr>
  </w:style>
  <w:style w:type="paragraph" w:styleId="ListBullet">
    <w:name w:val="List Bullet"/>
    <w:basedOn w:val="BodyText"/>
    <w:qFormat/>
    <w:rsid w:val="00546009"/>
    <w:pPr>
      <w:numPr>
        <w:numId w:val="4"/>
      </w:numPr>
      <w:tabs>
        <w:tab w:val="clear" w:pos="360"/>
      </w:tabs>
      <w:ind w:left="454" w:hanging="454"/>
    </w:pPr>
  </w:style>
  <w:style w:type="paragraph" w:styleId="ListBullet2">
    <w:name w:val="List Bullet 2"/>
    <w:basedOn w:val="ListBullet"/>
    <w:qFormat/>
    <w:rsid w:val="00546009"/>
    <w:pPr>
      <w:numPr>
        <w:numId w:val="5"/>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6"/>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7"/>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aliases w:val="Body Title"/>
    <w:basedOn w:val="BodyText"/>
    <w:link w:val="HeaderChar"/>
    <w:uiPriority w:val="99"/>
    <w:rsid w:val="00820397"/>
    <w:rPr>
      <w:sz w:val="20"/>
    </w:rPr>
  </w:style>
  <w:style w:type="character" w:customStyle="1" w:styleId="HeaderChar">
    <w:name w:val="Header Char"/>
    <w:aliases w:val="Body Title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uiPriority w:val="59"/>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8"/>
      </w:numPr>
    </w:pPr>
  </w:style>
  <w:style w:type="paragraph" w:styleId="ListNumber3">
    <w:name w:val="List Number 3"/>
    <w:basedOn w:val="BodyText"/>
    <w:uiPriority w:val="1"/>
    <w:rsid w:val="001A545C"/>
    <w:pPr>
      <w:numPr>
        <w:ilvl w:val="2"/>
        <w:numId w:val="8"/>
      </w:numPr>
    </w:pPr>
  </w:style>
  <w:style w:type="numbering" w:customStyle="1" w:styleId="OrderedList">
    <w:name w:val="Ordered List"/>
    <w:uiPriority w:val="99"/>
    <w:rsid w:val="001A545C"/>
    <w:pPr>
      <w:numPr>
        <w:numId w:val="8"/>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10"/>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11"/>
      </w:numPr>
    </w:pPr>
  </w:style>
  <w:style w:type="numbering" w:customStyle="1" w:styleId="ListParagraph1">
    <w:name w:val="List Paragraph1"/>
    <w:basedOn w:val="NoList"/>
    <w:rsid w:val="003B0519"/>
    <w:pPr>
      <w:numPr>
        <w:numId w:val="12"/>
      </w:numPr>
    </w:pPr>
  </w:style>
  <w:style w:type="paragraph" w:customStyle="1" w:styleId="DfESOutNumbered">
    <w:name w:val="DfESOutNumbered"/>
    <w:basedOn w:val="Normal"/>
    <w:link w:val="DfESOutNumberedChar"/>
    <w:rsid w:val="003B0519"/>
    <w:pPr>
      <w:widowControl w:val="0"/>
      <w:numPr>
        <w:numId w:val="13"/>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4"/>
      </w:numPr>
    </w:pPr>
  </w:style>
  <w:style w:type="numbering" w:customStyle="1" w:styleId="NumberedList0">
    <w:name w:val="NumberedList"/>
    <w:basedOn w:val="NoList"/>
    <w:rsid w:val="003B0519"/>
    <w:pPr>
      <w:numPr>
        <w:numId w:val="15"/>
      </w:numPr>
    </w:pPr>
  </w:style>
  <w:style w:type="numbering" w:customStyle="1" w:styleId="NumberList">
    <w:name w:val="Number List"/>
    <w:basedOn w:val="NoList"/>
    <w:rsid w:val="003B0519"/>
    <w:pPr>
      <w:numPr>
        <w:numId w:val="16"/>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7"/>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8"/>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9"/>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20"/>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28"/>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29"/>
      </w:numPr>
      <w:ind w:left="851" w:hanging="284"/>
    </w:pPr>
  </w:style>
  <w:style w:type="paragraph" w:customStyle="1" w:styleId="RFbullet">
    <w:name w:val="RF bullet"/>
    <w:basedOn w:val="RFnumberedpara"/>
    <w:autoRedefine/>
    <w:qFormat/>
    <w:rsid w:val="00C525CB"/>
    <w:pPr>
      <w:numPr>
        <w:numId w:val="0"/>
      </w:numPr>
      <w:spacing w:line="240" w:lineRule="auto"/>
      <w:ind w:left="432" w:right="432"/>
    </w:pPr>
    <w:rPr>
      <w:color w:val="FF0000"/>
    </w:r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22"/>
      </w:numPr>
    </w:pPr>
  </w:style>
  <w:style w:type="paragraph" w:customStyle="1" w:styleId="RFexecsum">
    <w:name w:val="RF exec sum"/>
    <w:basedOn w:val="RFnumberedpara"/>
    <w:qFormat/>
    <w:rsid w:val="003B0519"/>
    <w:pPr>
      <w:numPr>
        <w:numId w:val="21"/>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3"/>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4"/>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5"/>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6"/>
      </w:numPr>
    </w:pPr>
  </w:style>
  <w:style w:type="paragraph" w:customStyle="1" w:styleId="PIPnumbered">
    <w:name w:val="PIP numbered"/>
    <w:basedOn w:val="Normal"/>
    <w:autoRedefine/>
    <w:qFormat/>
    <w:rsid w:val="003A268B"/>
    <w:pPr>
      <w:widowControl w:val="0"/>
      <w:numPr>
        <w:numId w:val="27"/>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 w:type="character" w:customStyle="1" w:styleId="CoverTitle">
    <w:name w:val="Cover Title"/>
    <w:rsid w:val="00AB1AFC"/>
    <w:rPr>
      <w:rFonts w:ascii="Arial" w:hAnsi="Arial"/>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1863153">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anne.abdulai@nwhc.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5856576037149BA1094CBEE18253C" ma:contentTypeVersion="4" ma:contentTypeDescription="Create a new document." ma:contentTypeScope="" ma:versionID="010b43de1f1b6ab2d5fbbd35ce88b456">
  <xsd:schema xmlns:xsd="http://www.w3.org/2001/XMLSchema" xmlns:xs="http://www.w3.org/2001/XMLSchema" xmlns:p="http://schemas.microsoft.com/office/2006/metadata/properties" xmlns:ns2="c4158b51-d3c8-4edd-87df-4d1409873d04" targetNamespace="http://schemas.microsoft.com/office/2006/metadata/properties" ma:root="true" ma:fieldsID="e2330efe59df5ecec26d27efa7941806" ns2:_="">
    <xsd:import namespace="c4158b51-d3c8-4edd-87df-4d1409873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8b51-d3c8-4edd-87df-4d140987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CA2F-BA33-4043-AAE9-F3515F2E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8b51-d3c8-4edd-87df-4d140987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147A8-07F6-45D0-8909-D63193E7262C}">
  <ds:schemaRefs>
    <ds:schemaRef ds:uri="http://schemas.microsoft.com/office/infopath/2007/PartnerControls"/>
    <ds:schemaRef ds:uri="http://schemas.microsoft.com/office/2006/documentManagement/types"/>
    <ds:schemaRef ds:uri="http://schemas.microsoft.com/office/2006/metadata/properties"/>
    <ds:schemaRef ds:uri="c4158b51-d3c8-4edd-87df-4d1409873d0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E46DC1E5-546A-4525-927B-B2F5A20B20F2}">
  <ds:schemaRefs>
    <ds:schemaRef ds:uri="http://schemas.microsoft.com/sharepoint/v3/contenttype/forms"/>
  </ds:schemaRefs>
</ds:datastoreItem>
</file>

<file path=customXml/itemProps4.xml><?xml version="1.0" encoding="utf-8"?>
<ds:datastoreItem xmlns:ds="http://schemas.openxmlformats.org/officeDocument/2006/customXml" ds:itemID="{20EBF89E-4734-493F-A040-1A14083A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0</TotalTime>
  <Pages>5</Pages>
  <Words>2481</Words>
  <Characters>14142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Carrie-Anne Abdulai</cp:lastModifiedBy>
  <cp:revision>2</cp:revision>
  <dcterms:created xsi:type="dcterms:W3CDTF">2020-09-07T12:18:00Z</dcterms:created>
  <dcterms:modified xsi:type="dcterms:W3CDTF">2020-09-07T12:18:00Z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0x0101004105856576037149BA1094CBEE18253C</vt:lpwstr>
  </property>
</Properties>
</file>